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F8" w:rsidRDefault="00823953" w:rsidP="002F3FF8">
      <w:pPr>
        <w:pStyle w:val="Default"/>
      </w:pPr>
      <w:r>
        <w:t xml:space="preserve"> </w:t>
      </w:r>
    </w:p>
    <w:p w:rsidR="00F649C7" w:rsidRDefault="00F649C7" w:rsidP="00E90722">
      <w:pPr>
        <w:ind w:left="-113"/>
        <w:jc w:val="center"/>
        <w:rPr>
          <w:rFonts w:ascii="Trebuchet MS" w:hAnsi="Trebuchet MS"/>
          <w:b/>
          <w:sz w:val="20"/>
          <w:szCs w:val="20"/>
        </w:rPr>
      </w:pPr>
      <w:r w:rsidRPr="001E5076">
        <w:rPr>
          <w:rFonts w:ascii="Trebuchet MS" w:hAnsi="Trebuchet MS"/>
          <w:b/>
          <w:sz w:val="20"/>
          <w:szCs w:val="20"/>
        </w:rPr>
        <w:t>AYUDAS RAMÓN Y CAJAL</w:t>
      </w:r>
    </w:p>
    <w:p w:rsidR="001E5076" w:rsidRDefault="001E5076" w:rsidP="00E90722">
      <w:pPr>
        <w:ind w:left="-113"/>
        <w:jc w:val="center"/>
        <w:rPr>
          <w:rFonts w:ascii="Trebuchet MS" w:hAnsi="Trebuchet MS"/>
          <w:b/>
          <w:sz w:val="20"/>
          <w:szCs w:val="20"/>
        </w:rPr>
      </w:pPr>
    </w:p>
    <w:p w:rsidR="001938C7" w:rsidRPr="001E5076" w:rsidRDefault="001938C7" w:rsidP="00E90722">
      <w:pPr>
        <w:ind w:left="-113"/>
        <w:jc w:val="center"/>
        <w:rPr>
          <w:rFonts w:ascii="Trebuchet MS" w:hAnsi="Trebuchet MS"/>
          <w:b/>
          <w:sz w:val="20"/>
          <w:szCs w:val="20"/>
        </w:rPr>
      </w:pPr>
    </w:p>
    <w:p w:rsidR="00F649C7" w:rsidRDefault="00F649C7" w:rsidP="00E90722">
      <w:pPr>
        <w:pStyle w:val="Default"/>
        <w:ind w:left="-113"/>
        <w:jc w:val="both"/>
        <w:rPr>
          <w:sz w:val="20"/>
          <w:szCs w:val="20"/>
        </w:rPr>
      </w:pPr>
      <w:r w:rsidRPr="00236293">
        <w:rPr>
          <w:sz w:val="20"/>
          <w:szCs w:val="20"/>
        </w:rPr>
        <w:t xml:space="preserve">Para elaborar la propuesta de participación en la convocatoria de concesión de </w:t>
      </w:r>
      <w:r w:rsidR="001E5076">
        <w:rPr>
          <w:sz w:val="20"/>
          <w:szCs w:val="20"/>
        </w:rPr>
        <w:t xml:space="preserve">las </w:t>
      </w:r>
      <w:r w:rsidRPr="00236293">
        <w:rPr>
          <w:sz w:val="20"/>
          <w:szCs w:val="20"/>
        </w:rPr>
        <w:t>ayuda</w:t>
      </w:r>
      <w:r w:rsidR="001E5076">
        <w:rPr>
          <w:sz w:val="20"/>
          <w:szCs w:val="20"/>
        </w:rPr>
        <w:t xml:space="preserve">s </w:t>
      </w:r>
      <w:r w:rsidRPr="00236293">
        <w:rPr>
          <w:sz w:val="20"/>
          <w:szCs w:val="20"/>
        </w:rPr>
        <w:t>Ramón y Cajal</w:t>
      </w:r>
      <w:r w:rsidR="0057292B">
        <w:rPr>
          <w:sz w:val="20"/>
          <w:szCs w:val="20"/>
        </w:rPr>
        <w:t>,</w:t>
      </w:r>
      <w:r w:rsidR="001E5076">
        <w:rPr>
          <w:sz w:val="20"/>
          <w:szCs w:val="20"/>
        </w:rPr>
        <w:t xml:space="preserve"> </w:t>
      </w:r>
      <w:r w:rsidR="0057292B">
        <w:rPr>
          <w:sz w:val="20"/>
          <w:szCs w:val="20"/>
        </w:rPr>
        <w:t xml:space="preserve">del Programa Estatal para Desarrollar, Atraer y Retener Talento, del Plan Estatal de I+D+i 2021-2023, </w:t>
      </w:r>
      <w:r w:rsidRPr="00236293">
        <w:rPr>
          <w:sz w:val="20"/>
          <w:szCs w:val="20"/>
        </w:rPr>
        <w:t xml:space="preserve">correspondiente al año </w:t>
      </w:r>
      <w:proofErr w:type="gramStart"/>
      <w:r w:rsidRPr="00236293">
        <w:rPr>
          <w:sz w:val="20"/>
          <w:szCs w:val="20"/>
        </w:rPr>
        <w:t>202</w:t>
      </w:r>
      <w:r w:rsidR="00543F75">
        <w:rPr>
          <w:sz w:val="20"/>
          <w:szCs w:val="20"/>
        </w:rPr>
        <w:t>3</w:t>
      </w:r>
      <w:r w:rsidRPr="00236293">
        <w:rPr>
          <w:sz w:val="20"/>
          <w:szCs w:val="20"/>
        </w:rPr>
        <w:t>,  los</w:t>
      </w:r>
      <w:proofErr w:type="gramEnd"/>
      <w:r w:rsidRPr="00236293">
        <w:rPr>
          <w:sz w:val="20"/>
          <w:szCs w:val="20"/>
        </w:rPr>
        <w:t xml:space="preserve">/las investigadores/as responsables del equipo y línea de investigación a la que vaya a incorporarse el/la candidata/ a la ayuda, remitirán hasta el día </w:t>
      </w:r>
      <w:r w:rsidR="00543F75">
        <w:rPr>
          <w:b/>
          <w:sz w:val="20"/>
          <w:szCs w:val="20"/>
        </w:rPr>
        <w:t>23</w:t>
      </w:r>
      <w:r w:rsidRPr="0057292B">
        <w:rPr>
          <w:b/>
          <w:sz w:val="20"/>
          <w:szCs w:val="20"/>
        </w:rPr>
        <w:t xml:space="preserve"> de enero de 202</w:t>
      </w:r>
      <w:r w:rsidR="00543F75">
        <w:rPr>
          <w:b/>
          <w:sz w:val="20"/>
          <w:szCs w:val="20"/>
        </w:rPr>
        <w:t>4</w:t>
      </w:r>
      <w:r w:rsidRPr="00236293">
        <w:rPr>
          <w:sz w:val="20"/>
          <w:szCs w:val="20"/>
        </w:rPr>
        <w:t xml:space="preserve">, la siguiente documentación: </w:t>
      </w:r>
    </w:p>
    <w:p w:rsidR="0057292B" w:rsidRDefault="0057292B" w:rsidP="00E90722">
      <w:pPr>
        <w:pStyle w:val="Default"/>
        <w:ind w:left="-113"/>
        <w:jc w:val="both"/>
        <w:rPr>
          <w:sz w:val="20"/>
          <w:szCs w:val="20"/>
        </w:rPr>
      </w:pPr>
    </w:p>
    <w:p w:rsidR="001938C7" w:rsidRDefault="001938C7" w:rsidP="00E90722">
      <w:pPr>
        <w:pStyle w:val="Default"/>
        <w:ind w:left="-113"/>
        <w:jc w:val="both"/>
        <w:rPr>
          <w:sz w:val="20"/>
          <w:szCs w:val="20"/>
        </w:rPr>
      </w:pPr>
    </w:p>
    <w:p w:rsidR="0057292B" w:rsidRPr="0057292B" w:rsidRDefault="001938C7" w:rsidP="00E90722">
      <w:pPr>
        <w:pStyle w:val="Default"/>
        <w:ind w:left="-113"/>
        <w:jc w:val="both"/>
        <w:rPr>
          <w:sz w:val="20"/>
          <w:szCs w:val="20"/>
        </w:rPr>
      </w:pPr>
      <w:r>
        <w:rPr>
          <w:rFonts w:cs="Times New Roman"/>
          <w:sz w:val="20"/>
          <w:szCs w:val="20"/>
        </w:rPr>
        <w:t xml:space="preserve">A) </w:t>
      </w:r>
      <w:r w:rsidR="0057292B">
        <w:rPr>
          <w:rFonts w:cs="Times New Roman"/>
          <w:sz w:val="20"/>
          <w:szCs w:val="20"/>
        </w:rPr>
        <w:t>S</w:t>
      </w:r>
      <w:r w:rsidR="0057292B" w:rsidRPr="00236293">
        <w:rPr>
          <w:rFonts w:cs="Times New Roman"/>
          <w:sz w:val="20"/>
          <w:szCs w:val="20"/>
        </w:rPr>
        <w:t xml:space="preserve">olicitud </w:t>
      </w:r>
    </w:p>
    <w:p w:rsidR="0057292B" w:rsidRDefault="0057292B" w:rsidP="00E90722">
      <w:pPr>
        <w:pStyle w:val="Default"/>
        <w:ind w:left="-113"/>
        <w:jc w:val="both"/>
        <w:rPr>
          <w:sz w:val="20"/>
          <w:szCs w:val="20"/>
        </w:rPr>
      </w:pPr>
    </w:p>
    <w:p w:rsidR="00553801" w:rsidRPr="0057292B" w:rsidRDefault="00F649C7" w:rsidP="00E90722">
      <w:pPr>
        <w:pStyle w:val="Default"/>
        <w:ind w:left="-113"/>
        <w:jc w:val="both"/>
        <w:rPr>
          <w:sz w:val="20"/>
          <w:szCs w:val="20"/>
        </w:rPr>
      </w:pPr>
      <w:r w:rsidRPr="0057292B">
        <w:rPr>
          <w:sz w:val="20"/>
          <w:szCs w:val="20"/>
        </w:rPr>
        <w:t>Podrán presentar solicitudes lo</w:t>
      </w:r>
      <w:r w:rsidR="00951896">
        <w:rPr>
          <w:sz w:val="20"/>
          <w:szCs w:val="20"/>
        </w:rPr>
        <w:t>s</w:t>
      </w:r>
      <w:r w:rsidRPr="0057292B">
        <w:rPr>
          <w:sz w:val="20"/>
          <w:szCs w:val="20"/>
        </w:rPr>
        <w:t>/las investigadores/as responsables de Grupos de Investigaci</w:t>
      </w:r>
      <w:r w:rsidR="0057292B" w:rsidRPr="0057292B">
        <w:rPr>
          <w:sz w:val="20"/>
          <w:szCs w:val="20"/>
        </w:rPr>
        <w:t>ó</w:t>
      </w:r>
      <w:r w:rsidRPr="0057292B">
        <w:rPr>
          <w:sz w:val="20"/>
          <w:szCs w:val="20"/>
        </w:rPr>
        <w:t xml:space="preserve">n Reconocidos o investigadores/as principales de proyectos de investigación en vigor. El Departamento y Área de adscripción de cada Investigador </w:t>
      </w:r>
      <w:proofErr w:type="spellStart"/>
      <w:r w:rsidRPr="0057292B">
        <w:rPr>
          <w:sz w:val="20"/>
          <w:szCs w:val="20"/>
        </w:rPr>
        <w:t>RyC</w:t>
      </w:r>
      <w:proofErr w:type="spellEnd"/>
      <w:r w:rsidRPr="0057292B">
        <w:rPr>
          <w:sz w:val="20"/>
          <w:szCs w:val="20"/>
        </w:rPr>
        <w:t xml:space="preserve"> que pudiera incorporarse, de forma general, será el del responsable del Grupo de Investigación Reconocido o del Investigador Principal del proyecto de Investigación de referencia.  No obstante lo anterior, si el equipo investigador del proyecto de investigación es claramente interdisciplinar, por estar formado por investigadores con vinculación permanente y dedicación exclusiva a diferentes Departamentos y/o Áreas de conocimiento de la Universidad de Salamanca, el Departamento y Área de adscripción pudiera ser cualquiera de ellos, siempre que la solicitud se realice por el Investigador principal, tenga el  Visto bueno del investigador que pertenece al Dpto/Área y el informe favorable de este último Departamento/Área al que se pretende incorporar el investigador </w:t>
      </w:r>
      <w:proofErr w:type="spellStart"/>
      <w:r w:rsidRPr="0057292B">
        <w:rPr>
          <w:sz w:val="20"/>
          <w:szCs w:val="20"/>
        </w:rPr>
        <w:t>RyC</w:t>
      </w:r>
      <w:proofErr w:type="spellEnd"/>
      <w:r w:rsidRPr="0057292B">
        <w:rPr>
          <w:sz w:val="20"/>
          <w:szCs w:val="20"/>
        </w:rPr>
        <w:t>. En este caso solo se podrá avalar una solicitud por IP,</w:t>
      </w:r>
      <w:r w:rsidR="0057292B" w:rsidRPr="0057292B">
        <w:rPr>
          <w:sz w:val="20"/>
          <w:szCs w:val="20"/>
        </w:rPr>
        <w:t xml:space="preserve"> </w:t>
      </w:r>
      <w:r w:rsidRPr="0057292B">
        <w:rPr>
          <w:sz w:val="20"/>
          <w:szCs w:val="20"/>
        </w:rPr>
        <w:t>independientemente del número de proyectos que tengan.</w:t>
      </w:r>
    </w:p>
    <w:p w:rsidR="00F649C7" w:rsidRPr="00236293" w:rsidRDefault="00F649C7" w:rsidP="00E90722">
      <w:pPr>
        <w:ind w:left="-113"/>
        <w:jc w:val="both"/>
        <w:rPr>
          <w:rFonts w:ascii="Trebuchet MS" w:hAnsi="Trebuchet MS"/>
          <w:sz w:val="20"/>
          <w:szCs w:val="20"/>
        </w:rPr>
      </w:pPr>
    </w:p>
    <w:p w:rsidR="00543F75" w:rsidRDefault="0057292B" w:rsidP="00E90722">
      <w:pPr>
        <w:ind w:left="-113"/>
        <w:jc w:val="both"/>
        <w:rPr>
          <w:rFonts w:ascii="Trebuchet MS" w:hAnsi="Trebuchet MS"/>
          <w:sz w:val="20"/>
          <w:szCs w:val="20"/>
        </w:rPr>
      </w:pPr>
      <w:r w:rsidRPr="00B45E16">
        <w:rPr>
          <w:rFonts w:ascii="Trebuchet MS" w:hAnsi="Trebuchet MS"/>
          <w:sz w:val="20"/>
          <w:szCs w:val="20"/>
        </w:rPr>
        <w:t xml:space="preserve">El </w:t>
      </w:r>
      <w:r w:rsidR="001F66A0">
        <w:rPr>
          <w:rFonts w:ascii="Trebuchet MS" w:hAnsi="Trebuchet MS"/>
          <w:sz w:val="20"/>
          <w:szCs w:val="20"/>
        </w:rPr>
        <w:t xml:space="preserve">modelo de solicitud se encuentra en el enlace </w:t>
      </w:r>
      <w:hyperlink r:id="rId8" w:history="1">
        <w:r w:rsidR="001F66A0" w:rsidRPr="00EA658F">
          <w:rPr>
            <w:rStyle w:val="Hipervnculo"/>
            <w:sz w:val="20"/>
            <w:szCs w:val="20"/>
          </w:rPr>
          <w:t>https://transferencia.usal.es/convocatoria-interna-ramon-y-cajal/</w:t>
        </w:r>
      </w:hyperlink>
    </w:p>
    <w:p w:rsidR="001F66A0" w:rsidRPr="00543F75" w:rsidRDefault="001F66A0" w:rsidP="00E90722">
      <w:pPr>
        <w:ind w:left="-113"/>
        <w:jc w:val="both"/>
        <w:rPr>
          <w:rFonts w:ascii="Trebuchet MS" w:hAnsi="Trebuchet MS"/>
          <w:color w:val="FF0000"/>
          <w:sz w:val="20"/>
          <w:szCs w:val="20"/>
        </w:rPr>
      </w:pPr>
      <w:bookmarkStart w:id="0" w:name="_GoBack"/>
      <w:bookmarkEnd w:id="0"/>
    </w:p>
    <w:p w:rsidR="0057292B" w:rsidRPr="00236293" w:rsidRDefault="001938C7" w:rsidP="00E90722">
      <w:pPr>
        <w:pStyle w:val="Default"/>
        <w:ind w:left="-113"/>
        <w:jc w:val="both"/>
        <w:rPr>
          <w:rFonts w:cs="Times New Roman"/>
          <w:sz w:val="20"/>
          <w:szCs w:val="20"/>
        </w:rPr>
      </w:pPr>
      <w:r>
        <w:rPr>
          <w:rFonts w:cs="Times New Roman"/>
          <w:sz w:val="20"/>
          <w:szCs w:val="20"/>
        </w:rPr>
        <w:t>La</w:t>
      </w:r>
      <w:r w:rsidR="0057292B" w:rsidRPr="00236293">
        <w:rPr>
          <w:rFonts w:cs="Times New Roman"/>
          <w:sz w:val="20"/>
          <w:szCs w:val="20"/>
        </w:rPr>
        <w:t xml:space="preserve"> solicitud </w:t>
      </w:r>
      <w:r>
        <w:rPr>
          <w:rFonts w:cs="Times New Roman"/>
          <w:sz w:val="20"/>
          <w:szCs w:val="20"/>
        </w:rPr>
        <w:t xml:space="preserve">cumplimentada </w:t>
      </w:r>
      <w:r w:rsidR="0057292B" w:rsidRPr="00236293">
        <w:rPr>
          <w:rFonts w:cs="Times New Roman"/>
          <w:sz w:val="20"/>
          <w:szCs w:val="20"/>
        </w:rPr>
        <w:t xml:space="preserve">se enviará a la dirección de correo </w:t>
      </w:r>
      <w:r w:rsidR="0057292B" w:rsidRPr="00236293">
        <w:rPr>
          <w:rFonts w:cs="Times New Roman"/>
          <w:color w:val="0000FF"/>
          <w:sz w:val="20"/>
          <w:szCs w:val="20"/>
        </w:rPr>
        <w:t xml:space="preserve">serv.agi@usal.es </w:t>
      </w:r>
    </w:p>
    <w:p w:rsidR="00F649C7" w:rsidRPr="00236293" w:rsidRDefault="00F649C7" w:rsidP="00E90722">
      <w:pPr>
        <w:pStyle w:val="Default"/>
        <w:ind w:left="-113"/>
        <w:jc w:val="both"/>
        <w:rPr>
          <w:sz w:val="20"/>
          <w:szCs w:val="20"/>
        </w:rPr>
      </w:pPr>
    </w:p>
    <w:p w:rsidR="001938C7" w:rsidRDefault="00F649C7" w:rsidP="00E90722">
      <w:pPr>
        <w:pStyle w:val="Default"/>
        <w:ind w:left="-113"/>
        <w:jc w:val="both"/>
        <w:rPr>
          <w:sz w:val="20"/>
          <w:szCs w:val="20"/>
        </w:rPr>
      </w:pPr>
      <w:r w:rsidRPr="00236293">
        <w:rPr>
          <w:sz w:val="20"/>
          <w:szCs w:val="20"/>
        </w:rPr>
        <w:t xml:space="preserve"> </w:t>
      </w:r>
    </w:p>
    <w:p w:rsidR="00F649C7" w:rsidRPr="001938C7" w:rsidRDefault="001938C7" w:rsidP="00E90722">
      <w:pPr>
        <w:pStyle w:val="Default"/>
        <w:ind w:left="-113"/>
        <w:jc w:val="both"/>
        <w:rPr>
          <w:sz w:val="20"/>
          <w:szCs w:val="20"/>
        </w:rPr>
      </w:pPr>
      <w:r>
        <w:rPr>
          <w:rFonts w:cs="Times New Roman"/>
          <w:sz w:val="20"/>
          <w:szCs w:val="20"/>
        </w:rPr>
        <w:t>B) Con la solicitud se adjuntará la siguiente documentación</w:t>
      </w:r>
    </w:p>
    <w:p w:rsidR="00F649C7" w:rsidRPr="00236293" w:rsidRDefault="00F649C7" w:rsidP="00E90722">
      <w:pPr>
        <w:ind w:left="-113"/>
        <w:jc w:val="both"/>
        <w:rPr>
          <w:rFonts w:ascii="Trebuchet MS" w:hAnsi="Trebuchet MS"/>
          <w:sz w:val="20"/>
          <w:szCs w:val="20"/>
        </w:rPr>
      </w:pPr>
    </w:p>
    <w:p w:rsidR="00F649C7" w:rsidRPr="00236293" w:rsidRDefault="00F649C7" w:rsidP="00E90722">
      <w:pPr>
        <w:pStyle w:val="Default"/>
        <w:ind w:left="-113"/>
        <w:jc w:val="both"/>
        <w:rPr>
          <w:rFonts w:cs="Times New Roman"/>
          <w:sz w:val="20"/>
          <w:szCs w:val="20"/>
        </w:rPr>
      </w:pPr>
    </w:p>
    <w:p w:rsidR="00F649C7" w:rsidRPr="00236293" w:rsidRDefault="001938C7" w:rsidP="00E90722">
      <w:pPr>
        <w:pStyle w:val="Default"/>
        <w:numPr>
          <w:ilvl w:val="0"/>
          <w:numId w:val="22"/>
        </w:numPr>
        <w:ind w:left="510"/>
        <w:jc w:val="both"/>
        <w:rPr>
          <w:rFonts w:cs="Times New Roman"/>
          <w:sz w:val="20"/>
          <w:szCs w:val="20"/>
        </w:rPr>
      </w:pPr>
      <w:r w:rsidRPr="001938C7">
        <w:rPr>
          <w:b/>
          <w:sz w:val="20"/>
          <w:szCs w:val="20"/>
        </w:rPr>
        <w:t>A</w:t>
      </w:r>
      <w:r w:rsidR="00F649C7" w:rsidRPr="00236293">
        <w:rPr>
          <w:rFonts w:cs="Times New Roman"/>
          <w:b/>
          <w:bCs/>
          <w:sz w:val="20"/>
          <w:szCs w:val="20"/>
        </w:rPr>
        <w:t>dscripción a un Departamento</w:t>
      </w:r>
      <w:r w:rsidR="00F649C7" w:rsidRPr="00236293">
        <w:rPr>
          <w:rFonts w:cs="Times New Roman"/>
          <w:sz w:val="20"/>
          <w:szCs w:val="20"/>
        </w:rPr>
        <w:t xml:space="preserve">: informe motivado del Consejo del Departamento de la adscripción a un área de conocimiento </w:t>
      </w:r>
      <w:r>
        <w:rPr>
          <w:rFonts w:cs="Times New Roman"/>
          <w:sz w:val="20"/>
          <w:szCs w:val="20"/>
        </w:rPr>
        <w:t>y de</w:t>
      </w:r>
      <w:r w:rsidR="00F649C7" w:rsidRPr="00236293">
        <w:rPr>
          <w:rFonts w:cs="Times New Roman"/>
          <w:sz w:val="20"/>
          <w:szCs w:val="20"/>
        </w:rPr>
        <w:t xml:space="preserve"> la disponibilidad de espacio. </w:t>
      </w:r>
    </w:p>
    <w:p w:rsidR="00F649C7" w:rsidRPr="00236293" w:rsidRDefault="00F649C7" w:rsidP="00E90722">
      <w:pPr>
        <w:pStyle w:val="Default"/>
        <w:ind w:left="510"/>
        <w:jc w:val="both"/>
        <w:rPr>
          <w:rFonts w:cs="Times New Roman"/>
          <w:sz w:val="20"/>
          <w:szCs w:val="20"/>
        </w:rPr>
      </w:pPr>
    </w:p>
    <w:p w:rsidR="00F649C7" w:rsidRPr="00236293" w:rsidRDefault="001938C7" w:rsidP="00E90722">
      <w:pPr>
        <w:pStyle w:val="Default"/>
        <w:numPr>
          <w:ilvl w:val="0"/>
          <w:numId w:val="22"/>
        </w:numPr>
        <w:ind w:left="510"/>
        <w:jc w:val="both"/>
        <w:rPr>
          <w:rFonts w:cs="Times New Roman"/>
          <w:sz w:val="20"/>
          <w:szCs w:val="20"/>
        </w:rPr>
      </w:pPr>
      <w:r w:rsidRPr="001938C7">
        <w:rPr>
          <w:b/>
          <w:bCs/>
          <w:sz w:val="20"/>
          <w:szCs w:val="20"/>
        </w:rPr>
        <w:t>A</w:t>
      </w:r>
      <w:r w:rsidR="00F649C7" w:rsidRPr="00236293">
        <w:rPr>
          <w:rFonts w:cs="Times New Roman"/>
          <w:b/>
          <w:bCs/>
          <w:sz w:val="20"/>
          <w:szCs w:val="20"/>
        </w:rPr>
        <w:t>dscripción a un Instituto</w:t>
      </w:r>
      <w:r w:rsidR="00F649C7" w:rsidRPr="00236293">
        <w:rPr>
          <w:rFonts w:cs="Times New Roman"/>
          <w:sz w:val="20"/>
          <w:szCs w:val="20"/>
        </w:rPr>
        <w:t xml:space="preserve">: informe </w:t>
      </w:r>
      <w:r w:rsidR="00117ADB">
        <w:rPr>
          <w:rFonts w:cs="Times New Roman"/>
          <w:sz w:val="20"/>
          <w:szCs w:val="20"/>
        </w:rPr>
        <w:t xml:space="preserve">motivado </w:t>
      </w:r>
      <w:r w:rsidR="00F649C7" w:rsidRPr="00236293">
        <w:rPr>
          <w:rFonts w:cs="Times New Roman"/>
          <w:sz w:val="20"/>
          <w:szCs w:val="20"/>
        </w:rPr>
        <w:t xml:space="preserve">del Consejo de Instituto </w:t>
      </w:r>
      <w:r w:rsidR="00117ADB">
        <w:rPr>
          <w:rFonts w:cs="Times New Roman"/>
          <w:sz w:val="20"/>
          <w:szCs w:val="20"/>
        </w:rPr>
        <w:t>y de la</w:t>
      </w:r>
      <w:r w:rsidR="00F649C7" w:rsidRPr="00236293">
        <w:rPr>
          <w:rFonts w:cs="Times New Roman"/>
          <w:sz w:val="20"/>
          <w:szCs w:val="20"/>
        </w:rPr>
        <w:t xml:space="preserve"> disponibilidad de espacio e informe motivado del Consejo del Departamento de la adscripción a un área de conocimiento</w:t>
      </w:r>
      <w:r w:rsidR="00F649C7" w:rsidRPr="00236293">
        <w:rPr>
          <w:rFonts w:cs="Times New Roman"/>
          <w:b/>
          <w:bCs/>
          <w:sz w:val="20"/>
          <w:szCs w:val="20"/>
        </w:rPr>
        <w:t xml:space="preserve">. </w:t>
      </w:r>
    </w:p>
    <w:p w:rsidR="001938C7" w:rsidRDefault="001938C7" w:rsidP="00E90722">
      <w:pPr>
        <w:pStyle w:val="Default"/>
        <w:ind w:left="-113"/>
        <w:jc w:val="both"/>
        <w:rPr>
          <w:rFonts w:cs="Times New Roman"/>
          <w:sz w:val="20"/>
          <w:szCs w:val="20"/>
        </w:rPr>
      </w:pPr>
    </w:p>
    <w:p w:rsidR="001938C7" w:rsidRDefault="001938C7" w:rsidP="00E90722">
      <w:pPr>
        <w:pStyle w:val="Default"/>
        <w:ind w:left="-113"/>
        <w:jc w:val="both"/>
        <w:rPr>
          <w:rFonts w:cs="Times New Roman"/>
          <w:b/>
          <w:bCs/>
          <w:sz w:val="20"/>
          <w:szCs w:val="20"/>
        </w:rPr>
      </w:pPr>
    </w:p>
    <w:p w:rsidR="00543F75" w:rsidRDefault="00543F75" w:rsidP="00E90722">
      <w:pPr>
        <w:pStyle w:val="Default"/>
        <w:ind w:left="-113"/>
        <w:jc w:val="both"/>
        <w:rPr>
          <w:rFonts w:cs="Times New Roman"/>
          <w:b/>
          <w:bCs/>
          <w:sz w:val="20"/>
          <w:szCs w:val="20"/>
        </w:rPr>
      </w:pPr>
    </w:p>
    <w:p w:rsidR="001938C7" w:rsidRDefault="001938C7" w:rsidP="00E90722">
      <w:pPr>
        <w:pStyle w:val="Default"/>
        <w:ind w:left="-113"/>
        <w:jc w:val="both"/>
        <w:rPr>
          <w:rFonts w:cs="Times New Roman"/>
          <w:b/>
          <w:bCs/>
          <w:sz w:val="20"/>
          <w:szCs w:val="20"/>
        </w:rPr>
      </w:pPr>
    </w:p>
    <w:p w:rsidR="001938C7" w:rsidRDefault="001938C7" w:rsidP="00E90722">
      <w:pPr>
        <w:pStyle w:val="Default"/>
        <w:ind w:left="-113"/>
        <w:jc w:val="both"/>
        <w:rPr>
          <w:rFonts w:cs="Times New Roman"/>
          <w:b/>
          <w:bCs/>
          <w:sz w:val="20"/>
          <w:szCs w:val="20"/>
        </w:rPr>
      </w:pPr>
    </w:p>
    <w:p w:rsidR="00F649C7" w:rsidRDefault="00F649C7" w:rsidP="00E90722">
      <w:pPr>
        <w:pStyle w:val="Default"/>
        <w:ind w:left="-113"/>
        <w:jc w:val="both"/>
        <w:rPr>
          <w:rFonts w:cs="Times New Roman"/>
          <w:b/>
          <w:bCs/>
          <w:sz w:val="20"/>
          <w:szCs w:val="20"/>
        </w:rPr>
      </w:pPr>
      <w:r w:rsidRPr="00236293">
        <w:rPr>
          <w:rFonts w:cs="Times New Roman"/>
          <w:b/>
          <w:bCs/>
          <w:sz w:val="20"/>
          <w:szCs w:val="20"/>
        </w:rPr>
        <w:lastRenderedPageBreak/>
        <w:t xml:space="preserve">Criterios de selección </w:t>
      </w:r>
    </w:p>
    <w:p w:rsidR="001938C7" w:rsidRPr="00236293" w:rsidRDefault="001938C7" w:rsidP="00E90722">
      <w:pPr>
        <w:pStyle w:val="Default"/>
        <w:ind w:left="-113"/>
        <w:jc w:val="both"/>
        <w:rPr>
          <w:rFonts w:cs="Times New Roman"/>
          <w:sz w:val="20"/>
          <w:szCs w:val="20"/>
        </w:rPr>
      </w:pPr>
    </w:p>
    <w:p w:rsidR="00F649C7" w:rsidRPr="00236293" w:rsidRDefault="00F649C7" w:rsidP="00E90722">
      <w:pPr>
        <w:pStyle w:val="Default"/>
        <w:ind w:left="-113"/>
        <w:jc w:val="both"/>
        <w:rPr>
          <w:rFonts w:cs="Times New Roman"/>
          <w:sz w:val="20"/>
          <w:szCs w:val="20"/>
        </w:rPr>
      </w:pPr>
      <w:r w:rsidRPr="00236293">
        <w:rPr>
          <w:rFonts w:cs="Times New Roman"/>
          <w:sz w:val="20"/>
          <w:szCs w:val="20"/>
        </w:rPr>
        <w:t>Se utilizará el INDJ (índice de necesidades docentes con jubilaciones incluyendo las plazas dotadas) en el último cálculo actualizado y modificado,</w:t>
      </w:r>
      <w:r w:rsidR="00E90722">
        <w:rPr>
          <w:rFonts w:cs="Times New Roman"/>
          <w:sz w:val="20"/>
          <w:szCs w:val="20"/>
        </w:rPr>
        <w:t xml:space="preserve"> </w:t>
      </w:r>
      <w:r w:rsidRPr="00236293">
        <w:rPr>
          <w:rFonts w:cs="Times New Roman"/>
          <w:sz w:val="20"/>
          <w:szCs w:val="20"/>
        </w:rPr>
        <w:t xml:space="preserve">incluyendo las plazas dotadas, como criterio de priorización proporcionadas por el Vicerrectorado de Profesorado y que figuran como anexo a esta convocatoria. </w:t>
      </w: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Se tramitarán las solicitudes provenientes de áreas de conocimiento cuyo INDJ sea igual o superior a 0,7 del último documento de actividad académica por Departamento y Área. </w:t>
      </w: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Sólo se aceptará que en cada área de conocimiento haya un contratado/a del subprograma Ramón y Cajal salvo en el caso de que el índice del área sea igual o superior a 0,8. </w:t>
      </w: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En caso de que un área de conocimiento obtenga 1 plaza de </w:t>
      </w:r>
      <w:proofErr w:type="spellStart"/>
      <w:r w:rsidRPr="00236293">
        <w:rPr>
          <w:rFonts w:cs="Times New Roman"/>
          <w:sz w:val="20"/>
          <w:szCs w:val="20"/>
        </w:rPr>
        <w:t>RyC</w:t>
      </w:r>
      <w:proofErr w:type="spellEnd"/>
      <w:r w:rsidRPr="00236293">
        <w:rPr>
          <w:rFonts w:cs="Times New Roman"/>
          <w:sz w:val="20"/>
          <w:szCs w:val="20"/>
        </w:rPr>
        <w:t xml:space="preserve">, ésta se incorporará al nuevo cálculo de INDJ para establecer el orden de priorización de concesión de una segunda plaza de </w:t>
      </w:r>
      <w:proofErr w:type="spellStart"/>
      <w:r w:rsidRPr="00236293">
        <w:rPr>
          <w:rFonts w:cs="Times New Roman"/>
          <w:sz w:val="20"/>
          <w:szCs w:val="20"/>
        </w:rPr>
        <w:t>RyC</w:t>
      </w:r>
      <w:proofErr w:type="spellEnd"/>
      <w:r w:rsidRPr="00236293">
        <w:rPr>
          <w:rFonts w:cs="Times New Roman"/>
          <w:sz w:val="20"/>
          <w:szCs w:val="20"/>
        </w:rPr>
        <w:t xml:space="preserve">. </w:t>
      </w:r>
    </w:p>
    <w:p w:rsidR="00E90722" w:rsidRDefault="00F649C7" w:rsidP="00E90722">
      <w:pPr>
        <w:pStyle w:val="Default"/>
        <w:ind w:left="-113"/>
        <w:jc w:val="both"/>
        <w:rPr>
          <w:rFonts w:cs="Times New Roman"/>
          <w:sz w:val="20"/>
          <w:szCs w:val="20"/>
        </w:rPr>
      </w:pPr>
      <w:r w:rsidRPr="00236293">
        <w:rPr>
          <w:rFonts w:cs="Times New Roman"/>
          <w:sz w:val="20"/>
          <w:szCs w:val="20"/>
        </w:rPr>
        <w:t xml:space="preserve">En todo caso puede haber hasta 2 Ramones y </w:t>
      </w:r>
      <w:proofErr w:type="spellStart"/>
      <w:r w:rsidRPr="00236293">
        <w:rPr>
          <w:rFonts w:cs="Times New Roman"/>
          <w:sz w:val="20"/>
          <w:szCs w:val="20"/>
        </w:rPr>
        <w:t>Cajales</w:t>
      </w:r>
      <w:proofErr w:type="spellEnd"/>
      <w:r w:rsidRPr="00236293">
        <w:rPr>
          <w:rFonts w:cs="Times New Roman"/>
          <w:sz w:val="20"/>
          <w:szCs w:val="20"/>
        </w:rPr>
        <w:t xml:space="preserve"> en algún área, bien porque se soliciten dos plazas en esta convocatoria o bien porque ya haya un </w:t>
      </w:r>
      <w:proofErr w:type="spellStart"/>
      <w:r w:rsidRPr="00236293">
        <w:rPr>
          <w:rFonts w:cs="Times New Roman"/>
          <w:sz w:val="20"/>
          <w:szCs w:val="20"/>
        </w:rPr>
        <w:t>RyC</w:t>
      </w:r>
      <w:proofErr w:type="spellEnd"/>
      <w:r w:rsidRPr="00236293">
        <w:rPr>
          <w:rFonts w:cs="Times New Roman"/>
          <w:sz w:val="20"/>
          <w:szCs w:val="20"/>
        </w:rPr>
        <w:t xml:space="preserve"> contratado y se solicite uno más. </w:t>
      </w:r>
    </w:p>
    <w:p w:rsidR="00E90722" w:rsidRPr="00236293" w:rsidRDefault="00E90722" w:rsidP="00E90722">
      <w:pPr>
        <w:pStyle w:val="Default"/>
        <w:ind w:left="-113"/>
        <w:jc w:val="both"/>
        <w:rPr>
          <w:rFonts w:cs="Times New Roman"/>
          <w:sz w:val="20"/>
          <w:szCs w:val="20"/>
        </w:rPr>
      </w:pPr>
    </w:p>
    <w:p w:rsidR="00F649C7" w:rsidRPr="00236293" w:rsidRDefault="00F649C7" w:rsidP="00E90722">
      <w:pPr>
        <w:pStyle w:val="Default"/>
        <w:ind w:left="-113"/>
        <w:jc w:val="both"/>
        <w:rPr>
          <w:rFonts w:cs="Times New Roman"/>
          <w:sz w:val="20"/>
          <w:szCs w:val="20"/>
        </w:rPr>
      </w:pPr>
      <w:r w:rsidRPr="00236293">
        <w:rPr>
          <w:sz w:val="20"/>
          <w:szCs w:val="20"/>
        </w:rPr>
        <w:t xml:space="preserve">a) </w:t>
      </w:r>
      <w:r w:rsidRPr="00236293">
        <w:rPr>
          <w:rFonts w:cs="Times New Roman"/>
          <w:sz w:val="20"/>
          <w:szCs w:val="20"/>
        </w:rPr>
        <w:t xml:space="preserve">Si el INDJ es mayor o igual que </w:t>
      </w:r>
      <w:r w:rsidRPr="00236293">
        <w:rPr>
          <w:rFonts w:cs="Times New Roman"/>
          <w:b/>
          <w:bCs/>
          <w:sz w:val="20"/>
          <w:szCs w:val="20"/>
        </w:rPr>
        <w:t xml:space="preserve">0,7 </w:t>
      </w:r>
      <w:r w:rsidRPr="00236293">
        <w:rPr>
          <w:rFonts w:cs="Times New Roman"/>
          <w:sz w:val="20"/>
          <w:szCs w:val="20"/>
        </w:rPr>
        <w:t xml:space="preserve">y menor que </w:t>
      </w:r>
      <w:r w:rsidRPr="00236293">
        <w:rPr>
          <w:rFonts w:cs="Times New Roman"/>
          <w:b/>
          <w:bCs/>
          <w:sz w:val="20"/>
          <w:szCs w:val="20"/>
        </w:rPr>
        <w:t xml:space="preserve">0,8 </w:t>
      </w:r>
      <w:r w:rsidRPr="00236293">
        <w:rPr>
          <w:rFonts w:cs="Times New Roman"/>
          <w:sz w:val="20"/>
          <w:szCs w:val="20"/>
        </w:rPr>
        <w:t xml:space="preserve">el máximo de Ramones y </w:t>
      </w:r>
      <w:proofErr w:type="spellStart"/>
      <w:r w:rsidRPr="00236293">
        <w:rPr>
          <w:rFonts w:cs="Times New Roman"/>
          <w:sz w:val="20"/>
          <w:szCs w:val="20"/>
        </w:rPr>
        <w:t>Cajales</w:t>
      </w:r>
      <w:proofErr w:type="spellEnd"/>
      <w:r w:rsidRPr="00236293">
        <w:rPr>
          <w:rFonts w:cs="Times New Roman"/>
          <w:sz w:val="20"/>
          <w:szCs w:val="20"/>
        </w:rPr>
        <w:t xml:space="preserve"> por área será de </w:t>
      </w:r>
      <w:r w:rsidRPr="00236293">
        <w:rPr>
          <w:rFonts w:cs="Times New Roman"/>
          <w:b/>
          <w:bCs/>
          <w:sz w:val="20"/>
          <w:szCs w:val="20"/>
        </w:rPr>
        <w:t>1</w:t>
      </w:r>
      <w:r w:rsidRPr="00236293">
        <w:rPr>
          <w:rFonts w:cs="Times New Roman"/>
          <w:sz w:val="20"/>
          <w:szCs w:val="20"/>
        </w:rPr>
        <w:t xml:space="preserve">. </w:t>
      </w:r>
    </w:p>
    <w:p w:rsidR="00F649C7" w:rsidRPr="00236293" w:rsidRDefault="00F649C7" w:rsidP="00E90722">
      <w:pPr>
        <w:ind w:left="-113"/>
        <w:jc w:val="both"/>
        <w:rPr>
          <w:rFonts w:ascii="Trebuchet MS" w:hAnsi="Trebuchet MS"/>
          <w:sz w:val="20"/>
          <w:szCs w:val="20"/>
        </w:rPr>
      </w:pPr>
      <w:r w:rsidRPr="00236293">
        <w:rPr>
          <w:rFonts w:ascii="Trebuchet MS" w:hAnsi="Trebuchet MS"/>
          <w:sz w:val="20"/>
          <w:szCs w:val="20"/>
        </w:rPr>
        <w:t>En el caso de que un área de conocimiento presentase más de una o dos solicitudes en su caso, se considerará la financiación del/la IP solicitante en el momento de presentarla (ponderada por el número de investigadores/as del o de los proyectos vigentes).</w:t>
      </w:r>
    </w:p>
    <w:p w:rsidR="00F649C7" w:rsidRPr="00236293" w:rsidRDefault="00F649C7" w:rsidP="00E90722">
      <w:pPr>
        <w:pStyle w:val="Default"/>
        <w:ind w:left="-113"/>
        <w:jc w:val="both"/>
        <w:rPr>
          <w:sz w:val="20"/>
          <w:szCs w:val="20"/>
        </w:rPr>
      </w:pPr>
    </w:p>
    <w:p w:rsidR="00F649C7" w:rsidRDefault="00F649C7" w:rsidP="00E90722">
      <w:pPr>
        <w:pStyle w:val="Default"/>
        <w:ind w:left="-113"/>
        <w:jc w:val="both"/>
        <w:rPr>
          <w:rFonts w:cs="Times New Roman"/>
          <w:sz w:val="20"/>
          <w:szCs w:val="20"/>
        </w:rPr>
      </w:pPr>
      <w:r w:rsidRPr="00236293">
        <w:rPr>
          <w:sz w:val="20"/>
          <w:szCs w:val="20"/>
        </w:rPr>
        <w:t xml:space="preserve">b) </w:t>
      </w:r>
      <w:r w:rsidRPr="00236293">
        <w:rPr>
          <w:rFonts w:cs="Times New Roman"/>
          <w:sz w:val="20"/>
          <w:szCs w:val="20"/>
        </w:rPr>
        <w:t xml:space="preserve">En todo caso se ofertarán inicialmente un </w:t>
      </w:r>
      <w:r w:rsidRPr="00236293">
        <w:rPr>
          <w:rFonts w:cs="Times New Roman"/>
          <w:b/>
          <w:bCs/>
          <w:sz w:val="20"/>
          <w:szCs w:val="20"/>
        </w:rPr>
        <w:t xml:space="preserve">máximo de 20 plazas </w:t>
      </w:r>
      <w:r w:rsidRPr="00236293">
        <w:rPr>
          <w:rFonts w:cs="Times New Roman"/>
          <w:sz w:val="20"/>
          <w:szCs w:val="20"/>
        </w:rPr>
        <w:t xml:space="preserve">en esta convocatoria. </w:t>
      </w:r>
    </w:p>
    <w:p w:rsidR="00E90722" w:rsidRPr="00236293" w:rsidRDefault="00E90722" w:rsidP="00E90722">
      <w:pPr>
        <w:pStyle w:val="Default"/>
        <w:ind w:left="-113"/>
        <w:jc w:val="both"/>
        <w:rPr>
          <w:rFonts w:cs="Times New Roman"/>
          <w:sz w:val="20"/>
          <w:szCs w:val="20"/>
        </w:rPr>
      </w:pP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Excepcionalmente podrán considerarse solicitudes en reserva: </w:t>
      </w:r>
    </w:p>
    <w:p w:rsidR="00F649C7" w:rsidRPr="00236293" w:rsidRDefault="00F649C7" w:rsidP="00E90722">
      <w:pPr>
        <w:pStyle w:val="Default"/>
        <w:spacing w:after="61"/>
        <w:ind w:left="-113"/>
        <w:jc w:val="both"/>
        <w:rPr>
          <w:rFonts w:cs="Times New Roman"/>
          <w:sz w:val="20"/>
          <w:szCs w:val="20"/>
        </w:rPr>
      </w:pPr>
      <w:r w:rsidRPr="00236293">
        <w:rPr>
          <w:rFonts w:cs="Times New Roman"/>
          <w:sz w:val="20"/>
          <w:szCs w:val="20"/>
        </w:rPr>
        <w:t xml:space="preserve">- En primer </w:t>
      </w:r>
      <w:proofErr w:type="gramStart"/>
      <w:r w:rsidRPr="00236293">
        <w:rPr>
          <w:rFonts w:cs="Times New Roman"/>
          <w:sz w:val="20"/>
          <w:szCs w:val="20"/>
        </w:rPr>
        <w:t>lugar</w:t>
      </w:r>
      <w:proofErr w:type="gramEnd"/>
      <w:r w:rsidRPr="00236293">
        <w:rPr>
          <w:rFonts w:cs="Times New Roman"/>
          <w:sz w:val="20"/>
          <w:szCs w:val="20"/>
        </w:rPr>
        <w:t xml:space="preserve"> aquellas solicitudes pertenecientes a áreas de conocimiento cuyo INDJ sea superior a </w:t>
      </w:r>
      <w:r w:rsidRPr="00236293">
        <w:rPr>
          <w:rFonts w:cs="Times New Roman"/>
          <w:b/>
          <w:bCs/>
          <w:sz w:val="20"/>
          <w:szCs w:val="20"/>
        </w:rPr>
        <w:t xml:space="preserve">0,7 </w:t>
      </w:r>
      <w:r w:rsidRPr="00236293">
        <w:rPr>
          <w:rFonts w:cs="Times New Roman"/>
          <w:sz w:val="20"/>
          <w:szCs w:val="20"/>
        </w:rPr>
        <w:t xml:space="preserve">y que no hubieran conseguido formalizar el contrato correspondiente por falta de candidatos/as ocuparán la vacante en su área de conocimiento </w:t>
      </w:r>
    </w:p>
    <w:p w:rsidR="00F649C7" w:rsidRPr="00236293" w:rsidRDefault="00F649C7" w:rsidP="00E90722">
      <w:pPr>
        <w:pStyle w:val="Default"/>
        <w:ind w:left="-113"/>
        <w:jc w:val="both"/>
        <w:rPr>
          <w:rFonts w:cs="Times New Roman"/>
          <w:sz w:val="20"/>
          <w:szCs w:val="20"/>
        </w:rPr>
      </w:pPr>
      <w:r w:rsidRPr="00236293">
        <w:rPr>
          <w:sz w:val="20"/>
          <w:szCs w:val="20"/>
        </w:rPr>
        <w:t xml:space="preserve">- </w:t>
      </w:r>
      <w:r w:rsidRPr="00236293">
        <w:rPr>
          <w:rFonts w:cs="Times New Roman"/>
          <w:sz w:val="20"/>
          <w:szCs w:val="20"/>
        </w:rPr>
        <w:t xml:space="preserve">En segundo lugar, y en caso de que el número de solicitudes con áreas que tengan INDJ igual o superior al </w:t>
      </w:r>
      <w:r w:rsidRPr="00236293">
        <w:rPr>
          <w:rFonts w:cs="Times New Roman"/>
          <w:b/>
          <w:bCs/>
          <w:sz w:val="20"/>
          <w:szCs w:val="20"/>
        </w:rPr>
        <w:t xml:space="preserve">0,7 </w:t>
      </w:r>
      <w:r w:rsidRPr="00236293">
        <w:rPr>
          <w:rFonts w:cs="Times New Roman"/>
          <w:sz w:val="20"/>
          <w:szCs w:val="20"/>
        </w:rPr>
        <w:t xml:space="preserve">sea superior a 20, estas solicitudes pasarán a formar parte de la lista de suplentes. </w:t>
      </w:r>
    </w:p>
    <w:p w:rsidR="00F649C7" w:rsidRPr="00236293" w:rsidRDefault="00F649C7" w:rsidP="00E90722">
      <w:pPr>
        <w:pStyle w:val="Default"/>
        <w:ind w:left="-113"/>
        <w:jc w:val="both"/>
        <w:rPr>
          <w:rFonts w:cs="Times New Roman"/>
          <w:sz w:val="20"/>
          <w:szCs w:val="20"/>
        </w:rPr>
      </w:pP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 Consideración especial poseen aquellas solicitudes que no alcancen el INDJ, y aquellas que se encuentren en reserva por tener otra solicitud en su área de conocimiento, y cuyo solicitante no haya renunciado. Podrán ser evaluadas en caso de que las solicitudes cursadas finalmente no prosperen en acuerdos con la USAL para formalizar el contrato correspondiente. </w:t>
      </w:r>
    </w:p>
    <w:p w:rsidR="00F649C7" w:rsidRPr="00236293" w:rsidRDefault="00F649C7" w:rsidP="00E90722">
      <w:pPr>
        <w:pStyle w:val="Default"/>
        <w:ind w:left="-113"/>
        <w:jc w:val="both"/>
        <w:rPr>
          <w:rFonts w:cs="Times New Roman"/>
          <w:sz w:val="20"/>
          <w:szCs w:val="20"/>
        </w:rPr>
      </w:pPr>
      <w:r w:rsidRPr="00236293">
        <w:rPr>
          <w:rFonts w:cs="Times New Roman"/>
          <w:sz w:val="20"/>
          <w:szCs w:val="20"/>
        </w:rPr>
        <w:t xml:space="preserve">En el caso de estas últimas solicitudes, que no serán tramitadas en principio, si existiese la posibilidad de atraer un candidato a la USAL, el Consejo de Gobierno podrá proceder a su admisión previo informe del Consejo de Investigación y del Vicerrectorado de Profesorado que analizará el índice de Carga docente con jubilaciones del área solicitante para los próximos años. </w:t>
      </w:r>
    </w:p>
    <w:p w:rsidR="00F649C7" w:rsidRDefault="00F649C7" w:rsidP="00E90722">
      <w:pPr>
        <w:pStyle w:val="Default"/>
        <w:ind w:left="-113"/>
        <w:jc w:val="both"/>
        <w:rPr>
          <w:rFonts w:cs="Times New Roman"/>
          <w:sz w:val="20"/>
          <w:szCs w:val="20"/>
        </w:rPr>
      </w:pPr>
      <w:r w:rsidRPr="00236293">
        <w:rPr>
          <w:rFonts w:cs="Times New Roman"/>
          <w:sz w:val="20"/>
          <w:szCs w:val="20"/>
        </w:rPr>
        <w:t xml:space="preserve">El Rectorado decidirá en su momento el número de plazas concedidas teniendo en cuenta las limitaciones presupuestarias. </w:t>
      </w:r>
    </w:p>
    <w:p w:rsidR="00E90722" w:rsidRDefault="00E90722" w:rsidP="00E90722">
      <w:pPr>
        <w:pStyle w:val="Default"/>
        <w:ind w:left="-113"/>
        <w:jc w:val="both"/>
        <w:rPr>
          <w:rFonts w:cs="Times New Roman"/>
          <w:sz w:val="20"/>
          <w:szCs w:val="20"/>
        </w:rPr>
      </w:pPr>
    </w:p>
    <w:p w:rsidR="00D522A0" w:rsidRDefault="00D522A0" w:rsidP="00E90722">
      <w:pPr>
        <w:pStyle w:val="Default"/>
        <w:ind w:left="-113"/>
        <w:jc w:val="both"/>
        <w:rPr>
          <w:rFonts w:cs="Times New Roman"/>
          <w:sz w:val="20"/>
          <w:szCs w:val="20"/>
        </w:rPr>
      </w:pPr>
    </w:p>
    <w:p w:rsidR="00D522A0" w:rsidRPr="00236293" w:rsidRDefault="00D522A0" w:rsidP="00E90722">
      <w:pPr>
        <w:pStyle w:val="Default"/>
        <w:ind w:left="-113"/>
        <w:jc w:val="both"/>
        <w:rPr>
          <w:rFonts w:cs="Times New Roman"/>
          <w:sz w:val="20"/>
          <w:szCs w:val="20"/>
        </w:rPr>
      </w:pPr>
    </w:p>
    <w:p w:rsidR="00E90722" w:rsidRPr="00E90722" w:rsidRDefault="00F649C7" w:rsidP="00E90722">
      <w:pPr>
        <w:pStyle w:val="Default"/>
        <w:ind w:left="-113"/>
        <w:jc w:val="both"/>
        <w:rPr>
          <w:rFonts w:cs="Times New Roman"/>
          <w:i/>
          <w:sz w:val="20"/>
          <w:szCs w:val="20"/>
        </w:rPr>
      </w:pPr>
      <w:r w:rsidRPr="00E90722">
        <w:rPr>
          <w:rFonts w:cs="Times New Roman"/>
          <w:i/>
          <w:sz w:val="20"/>
          <w:szCs w:val="20"/>
        </w:rPr>
        <w:t xml:space="preserve">Dirección web de la Convocatoria: </w:t>
      </w:r>
      <w:hyperlink r:id="rId9" w:history="1">
        <w:r w:rsidR="00E90722" w:rsidRPr="00E90722">
          <w:rPr>
            <w:rStyle w:val="Hipervnculo"/>
            <w:rFonts w:cs="Times New Roman"/>
            <w:i/>
            <w:sz w:val="20"/>
            <w:szCs w:val="20"/>
          </w:rPr>
          <w:t>https://www.aei.gob.es/</w:t>
        </w:r>
      </w:hyperlink>
    </w:p>
    <w:p w:rsidR="00F649C7" w:rsidRPr="00E90722" w:rsidRDefault="00F649C7" w:rsidP="00E90722">
      <w:pPr>
        <w:pStyle w:val="Default"/>
        <w:ind w:left="-113"/>
        <w:jc w:val="both"/>
        <w:rPr>
          <w:rFonts w:cs="Times New Roman"/>
          <w:i/>
          <w:sz w:val="20"/>
          <w:szCs w:val="20"/>
        </w:rPr>
      </w:pPr>
      <w:r w:rsidRPr="00E90722">
        <w:rPr>
          <w:rFonts w:cs="Times New Roman"/>
          <w:i/>
          <w:sz w:val="20"/>
          <w:szCs w:val="20"/>
        </w:rPr>
        <w:t xml:space="preserve">Para cualquier duda pueden dirigir la consulta al correo </w:t>
      </w:r>
      <w:r w:rsidRPr="00E90722">
        <w:rPr>
          <w:rFonts w:cs="Times New Roman"/>
          <w:i/>
          <w:color w:val="0000FF"/>
          <w:sz w:val="20"/>
          <w:szCs w:val="20"/>
        </w:rPr>
        <w:t xml:space="preserve">serv.agi@usal.es </w:t>
      </w:r>
      <w:r w:rsidRPr="00E90722">
        <w:rPr>
          <w:rFonts w:cs="Times New Roman"/>
          <w:i/>
          <w:sz w:val="20"/>
          <w:szCs w:val="20"/>
        </w:rPr>
        <w:t>o llamar a las extensiones 1267 y 1052.</w:t>
      </w:r>
    </w:p>
    <w:sectPr w:rsidR="00F649C7" w:rsidRPr="00E90722" w:rsidSect="006917C7">
      <w:headerReference w:type="even" r:id="rId10"/>
      <w:headerReference w:type="default" r:id="rId11"/>
      <w:footerReference w:type="even" r:id="rId12"/>
      <w:footerReference w:type="default" r:id="rId13"/>
      <w:headerReference w:type="first" r:id="rId14"/>
      <w:footerReference w:type="first" r:id="rId15"/>
      <w:pgSz w:w="11906" w:h="16838"/>
      <w:pgMar w:top="2552" w:right="1469" w:bottom="2223" w:left="1979" w:header="61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4C" w:rsidRDefault="00D6214C">
      <w:r>
        <w:separator/>
      </w:r>
    </w:p>
  </w:endnote>
  <w:endnote w:type="continuationSeparator" w:id="0">
    <w:p w:rsidR="00D6214C" w:rsidRDefault="00D6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FF" w:rsidRDefault="00C706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FF" w:rsidRPr="00C706FF" w:rsidRDefault="00C706FF" w:rsidP="00C706FF">
    <w:pPr>
      <w:pStyle w:val="Piedepginaizquierda"/>
      <w:spacing w:after="0" w:line="240" w:lineRule="auto"/>
      <w:ind w:left="-108"/>
      <w:jc w:val="left"/>
      <w:rPr>
        <w:color w:val="404040"/>
        <w:szCs w:val="16"/>
      </w:rPr>
    </w:pPr>
    <w:r w:rsidRPr="0038787C">
      <w:rPr>
        <w:color w:val="404040"/>
        <w:szCs w:val="16"/>
      </w:rPr>
      <w:t>Patio de Escuelas, nº 1 37071. Salamanca</w:t>
    </w:r>
    <w:r>
      <w:rPr>
        <w:color w:val="404040"/>
        <w:szCs w:val="16"/>
      </w:rPr>
      <w:t xml:space="preserve">                                                                                               www.usal.es  </w:t>
    </w:r>
    <w:r w:rsidRPr="000D5F6C">
      <w:rPr>
        <w:color w:val="404040"/>
      </w:rPr>
      <w:t xml:space="preserve">Tel.: +34 923 29 44 </w:t>
    </w:r>
    <w:r>
      <w:rPr>
        <w:color w:val="404040"/>
      </w:rPr>
      <w:t xml:space="preserve">30                                                                                                         </w:t>
    </w:r>
    <w:r>
      <w:rPr>
        <w:color w:val="404040"/>
        <w:szCs w:val="16"/>
      </w:rPr>
      <w:t xml:space="preserve">vic.investigacion@usal.es                                                                           </w:t>
    </w:r>
    <w:r>
      <w:rPr>
        <w:color w:val="404040"/>
      </w:rPr>
      <w:t xml:space="preserve"> </w:t>
    </w:r>
    <w:sdt>
      <w:sdtPr>
        <w:id w:val="969169713"/>
        <w:placeholder>
          <w:docPart w:val="EB49FDA343DF43E2B4E3B5846A1B99A5"/>
        </w:placeholder>
        <w:temporary/>
        <w:showingPlcHdr/>
        <w15:appearance w15:val="hidden"/>
      </w:sdtPr>
      <w:sdtEndPr/>
      <w:sdtContent>
        <w:r>
          <w:rPr>
            <w:lang w:val="es-ES"/>
          </w:rPr>
          <w:t>[Escriba aquí]</w:t>
        </w:r>
      </w:sdtContent>
    </w:sdt>
  </w:p>
  <w:p w:rsidR="00880C6B" w:rsidRPr="00880C6B" w:rsidRDefault="00880C6B" w:rsidP="00F617E8">
    <w:pPr>
      <w:pStyle w:val="Piedepgina"/>
      <w:rPr>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06" w:rsidRPr="00A40634" w:rsidRDefault="00417606" w:rsidP="00A40634">
    <w:pPr>
      <w:pStyle w:val="Piedepgina"/>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4C" w:rsidRDefault="00D6214C">
      <w:r>
        <w:separator/>
      </w:r>
    </w:p>
  </w:footnote>
  <w:footnote w:type="continuationSeparator" w:id="0">
    <w:p w:rsidR="00D6214C" w:rsidRDefault="00D62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FF" w:rsidRDefault="00C706F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1" w:type="dxa"/>
      <w:tblInd w:w="-1134" w:type="dxa"/>
      <w:tblLayout w:type="fixed"/>
      <w:tblLook w:val="04A0" w:firstRow="1" w:lastRow="0" w:firstColumn="1" w:lastColumn="0" w:noHBand="0" w:noVBand="1"/>
    </w:tblPr>
    <w:tblGrid>
      <w:gridCol w:w="6966"/>
      <w:gridCol w:w="3415"/>
    </w:tblGrid>
    <w:tr w:rsidR="001E5076" w:rsidRPr="004C14E4" w:rsidTr="00D522A0">
      <w:trPr>
        <w:trHeight w:val="1905"/>
      </w:trPr>
      <w:tc>
        <w:tcPr>
          <w:tcW w:w="6966" w:type="dxa"/>
          <w:vAlign w:val="center"/>
        </w:tcPr>
        <w:p w:rsidR="001E5076" w:rsidRPr="004F0FF1" w:rsidRDefault="001E5076" w:rsidP="001E5076">
          <w:pPr>
            <w:pStyle w:val="Encabezado"/>
            <w:tabs>
              <w:tab w:val="clear" w:pos="4252"/>
              <w:tab w:val="clear" w:pos="8504"/>
            </w:tabs>
            <w:ind w:right="-202"/>
            <w:jc w:val="left"/>
            <w:rPr>
              <w:sz w:val="16"/>
              <w:szCs w:val="16"/>
              <w:lang w:val="es-ES" w:eastAsia="es-ES"/>
            </w:rPr>
          </w:pPr>
          <w:r>
            <w:rPr>
              <w:sz w:val="16"/>
              <w:szCs w:val="16"/>
              <w:lang w:val="es-ES" w:eastAsia="es-ES"/>
            </w:rPr>
            <w:t xml:space="preserve">              </w:t>
          </w:r>
          <w:r w:rsidRPr="00EB1A6A">
            <w:rPr>
              <w:noProof/>
              <w:lang w:val="es-ES" w:eastAsia="es-ES"/>
            </w:rPr>
            <w:drawing>
              <wp:inline distT="0" distB="0" distL="0" distR="0" wp14:anchorId="0ED72E72" wp14:editId="701D85EE">
                <wp:extent cx="2131231" cy="646981"/>
                <wp:effectExtent l="0" t="0" r="2540" b="1270"/>
                <wp:docPr id="5" name="Imagen 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icio"/>
                        <pic:cNvPicPr>
                          <a:picLocks noChangeAspect="1" noChangeArrowheads="1"/>
                        </pic:cNvPicPr>
                      </pic:nvPicPr>
                      <pic:blipFill>
                        <a:blip r:embed="rId1">
                          <a:extLst>
                            <a:ext uri="{28A0092B-C50C-407E-A947-70E740481C1C}">
                              <a14:useLocalDpi xmlns:a14="http://schemas.microsoft.com/office/drawing/2010/main" val="0"/>
                            </a:ext>
                          </a:extLst>
                        </a:blip>
                        <a:srcRect t="15384" b="18971"/>
                        <a:stretch>
                          <a:fillRect/>
                        </a:stretch>
                      </pic:blipFill>
                      <pic:spPr bwMode="auto">
                        <a:xfrm>
                          <a:off x="0" y="0"/>
                          <a:ext cx="2131231" cy="646981"/>
                        </a:xfrm>
                        <a:prstGeom prst="rect">
                          <a:avLst/>
                        </a:prstGeom>
                        <a:noFill/>
                        <a:ln>
                          <a:noFill/>
                        </a:ln>
                      </pic:spPr>
                    </pic:pic>
                  </a:graphicData>
                </a:graphic>
              </wp:inline>
            </w:drawing>
          </w:r>
        </w:p>
      </w:tc>
      <w:tc>
        <w:tcPr>
          <w:tcW w:w="3415" w:type="dxa"/>
          <w:vAlign w:val="center"/>
        </w:tcPr>
        <w:p w:rsidR="001E5076" w:rsidRDefault="001E5076" w:rsidP="001E5076">
          <w:pPr>
            <w:pStyle w:val="Encabezadoprimerapgina"/>
          </w:pPr>
          <w:r w:rsidRPr="00F36C69">
            <w:t xml:space="preserve">Vicerrectorado </w:t>
          </w:r>
          <w:r>
            <w:t>DE INVESTIGACIÓN</w:t>
          </w:r>
        </w:p>
        <w:p w:rsidR="001E5076" w:rsidRPr="00F36C69" w:rsidRDefault="001E5076" w:rsidP="001E5076">
          <w:pPr>
            <w:pStyle w:val="Encabezadoprimerapgina"/>
          </w:pPr>
          <w:r>
            <w:t xml:space="preserve">               Y TRANSFERENCIA</w:t>
          </w:r>
        </w:p>
        <w:p w:rsidR="001E5076" w:rsidRPr="004C14E4" w:rsidRDefault="001E5076" w:rsidP="001E5076">
          <w:pPr>
            <w:pStyle w:val="Anexo2"/>
            <w:ind w:left="-108"/>
          </w:pPr>
        </w:p>
      </w:tc>
    </w:tr>
  </w:tbl>
  <w:p w:rsidR="00E90722" w:rsidRDefault="00E90722" w:rsidP="00B97C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134" w:type="dxa"/>
      <w:tblLayout w:type="fixed"/>
      <w:tblLook w:val="04A0" w:firstRow="1" w:lastRow="0" w:firstColumn="1" w:lastColumn="0" w:noHBand="0" w:noVBand="1"/>
    </w:tblPr>
    <w:tblGrid>
      <w:gridCol w:w="6946"/>
      <w:gridCol w:w="3406"/>
    </w:tblGrid>
    <w:tr w:rsidR="00456AAC" w:rsidRPr="004F0FF1" w:rsidTr="00286035">
      <w:trPr>
        <w:trHeight w:val="2268"/>
      </w:trPr>
      <w:tc>
        <w:tcPr>
          <w:tcW w:w="6946" w:type="dxa"/>
          <w:vAlign w:val="center"/>
        </w:tcPr>
        <w:p w:rsidR="00A073D8" w:rsidRPr="004F0FF1" w:rsidRDefault="00236293" w:rsidP="001E0866">
          <w:pPr>
            <w:pStyle w:val="Encabezado"/>
            <w:tabs>
              <w:tab w:val="clear" w:pos="4252"/>
              <w:tab w:val="clear" w:pos="8504"/>
            </w:tabs>
            <w:ind w:right="-202"/>
            <w:jc w:val="left"/>
            <w:rPr>
              <w:sz w:val="16"/>
              <w:szCs w:val="16"/>
              <w:lang w:val="es-ES" w:eastAsia="es-ES"/>
            </w:rPr>
          </w:pPr>
          <w:r>
            <w:rPr>
              <w:sz w:val="16"/>
              <w:szCs w:val="16"/>
              <w:lang w:val="es-ES" w:eastAsia="es-ES"/>
            </w:rPr>
            <w:t xml:space="preserve">              </w:t>
          </w:r>
          <w:r w:rsidR="00CC0064" w:rsidRPr="00EB1A6A">
            <w:rPr>
              <w:noProof/>
              <w:lang w:val="es-ES" w:eastAsia="es-ES"/>
            </w:rPr>
            <w:drawing>
              <wp:inline distT="0" distB="0" distL="0" distR="0">
                <wp:extent cx="2131231" cy="646981"/>
                <wp:effectExtent l="0" t="0" r="2540" b="127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icio"/>
                        <pic:cNvPicPr>
                          <a:picLocks noChangeAspect="1" noChangeArrowheads="1"/>
                        </pic:cNvPicPr>
                      </pic:nvPicPr>
                      <pic:blipFill>
                        <a:blip r:embed="rId1">
                          <a:extLst>
                            <a:ext uri="{28A0092B-C50C-407E-A947-70E740481C1C}">
                              <a14:useLocalDpi xmlns:a14="http://schemas.microsoft.com/office/drawing/2010/main" val="0"/>
                            </a:ext>
                          </a:extLst>
                        </a:blip>
                        <a:srcRect t="15384" b="18971"/>
                        <a:stretch>
                          <a:fillRect/>
                        </a:stretch>
                      </pic:blipFill>
                      <pic:spPr bwMode="auto">
                        <a:xfrm>
                          <a:off x="0" y="0"/>
                          <a:ext cx="2131231" cy="646981"/>
                        </a:xfrm>
                        <a:prstGeom prst="rect">
                          <a:avLst/>
                        </a:prstGeom>
                        <a:noFill/>
                        <a:ln>
                          <a:noFill/>
                        </a:ln>
                      </pic:spPr>
                    </pic:pic>
                  </a:graphicData>
                </a:graphic>
              </wp:inline>
            </w:drawing>
          </w:r>
        </w:p>
      </w:tc>
      <w:tc>
        <w:tcPr>
          <w:tcW w:w="3406" w:type="dxa"/>
          <w:vAlign w:val="center"/>
        </w:tcPr>
        <w:p w:rsidR="00A5459F" w:rsidRDefault="00F617E8" w:rsidP="00F617E8">
          <w:pPr>
            <w:pStyle w:val="Encabezadoprimerapgina"/>
          </w:pPr>
          <w:r w:rsidRPr="00F36C69">
            <w:t xml:space="preserve">Vicerrectorado </w:t>
          </w:r>
          <w:r w:rsidR="00FC01C6">
            <w:t>DE INVESTIGACIÓN</w:t>
          </w:r>
        </w:p>
        <w:p w:rsidR="00F617E8" w:rsidRPr="00F36C69" w:rsidRDefault="00C7480E" w:rsidP="00F617E8">
          <w:pPr>
            <w:pStyle w:val="Encabezadoprimerapgina"/>
          </w:pPr>
          <w:r>
            <w:t xml:space="preserve">               </w:t>
          </w:r>
          <w:r w:rsidR="00A5459F">
            <w:t>Y TRANSFERENCIA</w:t>
          </w:r>
        </w:p>
        <w:p w:rsidR="00A073D8" w:rsidRPr="004C14E4" w:rsidRDefault="00A073D8" w:rsidP="00F617E8">
          <w:pPr>
            <w:pStyle w:val="Anexo2"/>
            <w:ind w:left="-108"/>
          </w:pPr>
        </w:p>
      </w:tc>
    </w:tr>
  </w:tbl>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1063" w:hanging="361"/>
      </w:pPr>
      <w:rPr>
        <w:rFonts w:ascii="Wingdings" w:hAnsi="Wingdings" w:cs="Wingdings"/>
        <w:b w:val="0"/>
        <w:bCs w:val="0"/>
        <w:sz w:val="22"/>
        <w:szCs w:val="22"/>
      </w:rPr>
    </w:lvl>
    <w:lvl w:ilvl="1">
      <w:numFmt w:val="bullet"/>
      <w:lvlText w:val="-"/>
      <w:lvlJc w:val="left"/>
      <w:pPr>
        <w:ind w:left="2001" w:hanging="360"/>
      </w:pPr>
      <w:rPr>
        <w:rFonts w:ascii="Calibri" w:hAnsi="Calibri" w:cs="Calibri"/>
        <w:b w:val="0"/>
        <w:bCs w:val="0"/>
        <w:sz w:val="22"/>
        <w:szCs w:val="22"/>
      </w:rPr>
    </w:lvl>
    <w:lvl w:ilvl="2">
      <w:numFmt w:val="bullet"/>
      <w:lvlText w:val="•"/>
      <w:lvlJc w:val="left"/>
      <w:pPr>
        <w:ind w:left="2000" w:hanging="360"/>
      </w:pPr>
    </w:lvl>
    <w:lvl w:ilvl="3">
      <w:numFmt w:val="bullet"/>
      <w:lvlText w:val="•"/>
      <w:lvlJc w:val="left"/>
      <w:pPr>
        <w:ind w:left="2001" w:hanging="360"/>
      </w:pPr>
    </w:lvl>
    <w:lvl w:ilvl="4">
      <w:numFmt w:val="bullet"/>
      <w:lvlText w:val="•"/>
      <w:lvlJc w:val="left"/>
      <w:pPr>
        <w:ind w:left="3076" w:hanging="360"/>
      </w:pPr>
    </w:lvl>
    <w:lvl w:ilvl="5">
      <w:numFmt w:val="bullet"/>
      <w:lvlText w:val="•"/>
      <w:lvlJc w:val="left"/>
      <w:pPr>
        <w:ind w:left="4151" w:hanging="360"/>
      </w:pPr>
    </w:lvl>
    <w:lvl w:ilvl="6">
      <w:numFmt w:val="bullet"/>
      <w:lvlText w:val="•"/>
      <w:lvlJc w:val="left"/>
      <w:pPr>
        <w:ind w:left="5226" w:hanging="360"/>
      </w:pPr>
    </w:lvl>
    <w:lvl w:ilvl="7">
      <w:numFmt w:val="bullet"/>
      <w:lvlText w:val="•"/>
      <w:lvlJc w:val="left"/>
      <w:pPr>
        <w:ind w:left="6301" w:hanging="360"/>
      </w:pPr>
    </w:lvl>
    <w:lvl w:ilvl="8">
      <w:numFmt w:val="bullet"/>
      <w:lvlText w:val="•"/>
      <w:lvlJc w:val="left"/>
      <w:pPr>
        <w:ind w:left="7376" w:hanging="360"/>
      </w:pPr>
    </w:lvl>
  </w:abstractNum>
  <w:abstractNum w:abstractNumId="12" w15:restartNumberingAfterBreak="0">
    <w:nsid w:val="00000403"/>
    <w:multiLevelType w:val="multilevel"/>
    <w:tmpl w:val="00000886"/>
    <w:lvl w:ilvl="0">
      <w:start w:val="1"/>
      <w:numFmt w:val="decimal"/>
      <w:lvlText w:val="%1"/>
      <w:lvlJc w:val="left"/>
      <w:pPr>
        <w:ind w:left="1084" w:hanging="164"/>
      </w:pPr>
      <w:rPr>
        <w:rFonts w:ascii="Calibri" w:hAnsi="Calibri" w:cs="Calibri"/>
        <w:b w:val="0"/>
        <w:bCs w:val="0"/>
        <w:sz w:val="22"/>
        <w:szCs w:val="22"/>
      </w:rPr>
    </w:lvl>
    <w:lvl w:ilvl="1">
      <w:numFmt w:val="bullet"/>
      <w:lvlText w:val="•"/>
      <w:lvlJc w:val="left"/>
      <w:pPr>
        <w:ind w:left="1930" w:hanging="164"/>
      </w:pPr>
    </w:lvl>
    <w:lvl w:ilvl="2">
      <w:numFmt w:val="bullet"/>
      <w:lvlText w:val="•"/>
      <w:lvlJc w:val="left"/>
      <w:pPr>
        <w:ind w:left="2777" w:hanging="164"/>
      </w:pPr>
    </w:lvl>
    <w:lvl w:ilvl="3">
      <w:numFmt w:val="bullet"/>
      <w:lvlText w:val="•"/>
      <w:lvlJc w:val="left"/>
      <w:pPr>
        <w:ind w:left="3623" w:hanging="164"/>
      </w:pPr>
    </w:lvl>
    <w:lvl w:ilvl="4">
      <w:numFmt w:val="bullet"/>
      <w:lvlText w:val="•"/>
      <w:lvlJc w:val="left"/>
      <w:pPr>
        <w:ind w:left="4469" w:hanging="164"/>
      </w:pPr>
    </w:lvl>
    <w:lvl w:ilvl="5">
      <w:numFmt w:val="bullet"/>
      <w:lvlText w:val="•"/>
      <w:lvlJc w:val="left"/>
      <w:pPr>
        <w:ind w:left="5315" w:hanging="164"/>
      </w:pPr>
    </w:lvl>
    <w:lvl w:ilvl="6">
      <w:numFmt w:val="bullet"/>
      <w:lvlText w:val="•"/>
      <w:lvlJc w:val="left"/>
      <w:pPr>
        <w:ind w:left="6161" w:hanging="164"/>
      </w:pPr>
    </w:lvl>
    <w:lvl w:ilvl="7">
      <w:numFmt w:val="bullet"/>
      <w:lvlText w:val="•"/>
      <w:lvlJc w:val="left"/>
      <w:pPr>
        <w:ind w:left="7007" w:hanging="164"/>
      </w:pPr>
    </w:lvl>
    <w:lvl w:ilvl="8">
      <w:numFmt w:val="bullet"/>
      <w:lvlText w:val="•"/>
      <w:lvlJc w:val="left"/>
      <w:pPr>
        <w:ind w:left="7854" w:hanging="164"/>
      </w:pPr>
    </w:lvl>
  </w:abstractNum>
  <w:abstractNum w:abstractNumId="13" w15:restartNumberingAfterBreak="0">
    <w:nsid w:val="027B5CDD"/>
    <w:multiLevelType w:val="hybridMultilevel"/>
    <w:tmpl w:val="1DF83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8D640C"/>
    <w:multiLevelType w:val="hybridMultilevel"/>
    <w:tmpl w:val="3B3CD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BC415E2"/>
    <w:multiLevelType w:val="hybridMultilevel"/>
    <w:tmpl w:val="D85251C2"/>
    <w:lvl w:ilvl="0" w:tplc="B14C22B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0BF85110"/>
    <w:multiLevelType w:val="hybridMultilevel"/>
    <w:tmpl w:val="A77CC15E"/>
    <w:lvl w:ilvl="0" w:tplc="B156D0FA">
      <w:start w:val="1"/>
      <w:numFmt w:val="upperLetter"/>
      <w:lvlText w:val="%1)"/>
      <w:lvlJc w:val="left"/>
      <w:pPr>
        <w:ind w:left="720" w:hanging="360"/>
      </w:pPr>
      <w:rPr>
        <w:rFonts w:ascii="Trebuchet MS" w:hAnsi="Trebuchet MS" w:cs="Trebuchet M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A536B3"/>
    <w:multiLevelType w:val="hybridMultilevel"/>
    <w:tmpl w:val="D0B07E96"/>
    <w:lvl w:ilvl="0" w:tplc="F0488410">
      <w:start w:val="1"/>
      <w:numFmt w:val="decimal"/>
      <w:lvlText w:val="%1."/>
      <w:lvlJc w:val="left"/>
      <w:pPr>
        <w:ind w:left="720" w:hanging="360"/>
      </w:pPr>
      <w:rPr>
        <w:rFonts w:cs="Trebuchet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FD503F"/>
    <w:multiLevelType w:val="hybridMultilevel"/>
    <w:tmpl w:val="81D2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1457C3"/>
    <w:multiLevelType w:val="hybridMultilevel"/>
    <w:tmpl w:val="7A6032B0"/>
    <w:lvl w:ilvl="0" w:tplc="4DF625E8">
      <w:start w:val="4"/>
      <w:numFmt w:val="bullet"/>
      <w:lvlText w:val=""/>
      <w:lvlJc w:val="left"/>
      <w:pPr>
        <w:ind w:left="720" w:hanging="360"/>
      </w:pPr>
      <w:rPr>
        <w:rFonts w:ascii="Symbol" w:eastAsia="Calibri"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60F14821"/>
    <w:multiLevelType w:val="hybridMultilevel"/>
    <w:tmpl w:val="CBD421FA"/>
    <w:lvl w:ilvl="0" w:tplc="F0488410">
      <w:start w:val="1"/>
      <w:numFmt w:val="decimal"/>
      <w:lvlText w:val="%1."/>
      <w:lvlJc w:val="left"/>
      <w:pPr>
        <w:ind w:left="720" w:hanging="360"/>
      </w:pPr>
      <w:rPr>
        <w:rFont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724BD2"/>
    <w:multiLevelType w:val="hybridMultilevel"/>
    <w:tmpl w:val="013CBE5C"/>
    <w:lvl w:ilvl="0" w:tplc="8B1E6556">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1"/>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7"/>
  </w:num>
  <w:num w:numId="20">
    <w:abstractNumId w:val="13"/>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E4"/>
    <w:rsid w:val="000045C2"/>
    <w:rsid w:val="0000486D"/>
    <w:rsid w:val="0002229E"/>
    <w:rsid w:val="00033233"/>
    <w:rsid w:val="00052716"/>
    <w:rsid w:val="00053DA8"/>
    <w:rsid w:val="00083F01"/>
    <w:rsid w:val="000937A5"/>
    <w:rsid w:val="000B3202"/>
    <w:rsid w:val="000B4242"/>
    <w:rsid w:val="000B5BA1"/>
    <w:rsid w:val="000C4ABE"/>
    <w:rsid w:val="000D5F6C"/>
    <w:rsid w:val="000E4F90"/>
    <w:rsid w:val="000E7A2C"/>
    <w:rsid w:val="000F3F3A"/>
    <w:rsid w:val="00100626"/>
    <w:rsid w:val="00117ADB"/>
    <w:rsid w:val="00121206"/>
    <w:rsid w:val="00126F28"/>
    <w:rsid w:val="00160DAF"/>
    <w:rsid w:val="00163431"/>
    <w:rsid w:val="00170AB7"/>
    <w:rsid w:val="00175B92"/>
    <w:rsid w:val="00176AB5"/>
    <w:rsid w:val="001938C7"/>
    <w:rsid w:val="001A43EF"/>
    <w:rsid w:val="001A5B3C"/>
    <w:rsid w:val="001C7908"/>
    <w:rsid w:val="001D42BB"/>
    <w:rsid w:val="001D6797"/>
    <w:rsid w:val="001E0866"/>
    <w:rsid w:val="001E33C4"/>
    <w:rsid w:val="001E5076"/>
    <w:rsid w:val="001E5E0F"/>
    <w:rsid w:val="001F0D60"/>
    <w:rsid w:val="001F66A0"/>
    <w:rsid w:val="001F6EF3"/>
    <w:rsid w:val="00204108"/>
    <w:rsid w:val="002127E8"/>
    <w:rsid w:val="00217CA0"/>
    <w:rsid w:val="00236293"/>
    <w:rsid w:val="00237FAE"/>
    <w:rsid w:val="002427FF"/>
    <w:rsid w:val="00250D4A"/>
    <w:rsid w:val="00251137"/>
    <w:rsid w:val="00286035"/>
    <w:rsid w:val="00287621"/>
    <w:rsid w:val="002A6C50"/>
    <w:rsid w:val="002D19D0"/>
    <w:rsid w:val="002E2570"/>
    <w:rsid w:val="002F3FF8"/>
    <w:rsid w:val="003036D5"/>
    <w:rsid w:val="00307C27"/>
    <w:rsid w:val="003262F5"/>
    <w:rsid w:val="00340944"/>
    <w:rsid w:val="00350A9E"/>
    <w:rsid w:val="00372F18"/>
    <w:rsid w:val="00397D11"/>
    <w:rsid w:val="003A1CC1"/>
    <w:rsid w:val="003B25F1"/>
    <w:rsid w:val="003B2A72"/>
    <w:rsid w:val="003D51E1"/>
    <w:rsid w:val="003D5A74"/>
    <w:rsid w:val="003D6A90"/>
    <w:rsid w:val="003F0400"/>
    <w:rsid w:val="003F195D"/>
    <w:rsid w:val="003F7E58"/>
    <w:rsid w:val="00402498"/>
    <w:rsid w:val="00403645"/>
    <w:rsid w:val="00407189"/>
    <w:rsid w:val="004141F3"/>
    <w:rsid w:val="00417606"/>
    <w:rsid w:val="004179D1"/>
    <w:rsid w:val="00423931"/>
    <w:rsid w:val="00441E3F"/>
    <w:rsid w:val="00451BF2"/>
    <w:rsid w:val="00456AAC"/>
    <w:rsid w:val="00463404"/>
    <w:rsid w:val="00470B0F"/>
    <w:rsid w:val="004856C3"/>
    <w:rsid w:val="004A542B"/>
    <w:rsid w:val="004B6D74"/>
    <w:rsid w:val="004C14E4"/>
    <w:rsid w:val="004C6105"/>
    <w:rsid w:val="004D76F2"/>
    <w:rsid w:val="004F0FF1"/>
    <w:rsid w:val="004F317C"/>
    <w:rsid w:val="004F3FC9"/>
    <w:rsid w:val="004F6F87"/>
    <w:rsid w:val="00510C65"/>
    <w:rsid w:val="0051139F"/>
    <w:rsid w:val="00540F00"/>
    <w:rsid w:val="00543F75"/>
    <w:rsid w:val="00545F49"/>
    <w:rsid w:val="00553801"/>
    <w:rsid w:val="0057292B"/>
    <w:rsid w:val="005825E1"/>
    <w:rsid w:val="005A2E1D"/>
    <w:rsid w:val="005D7083"/>
    <w:rsid w:val="005E0E49"/>
    <w:rsid w:val="005E1513"/>
    <w:rsid w:val="005F73FC"/>
    <w:rsid w:val="00605B32"/>
    <w:rsid w:val="0060761C"/>
    <w:rsid w:val="006306F2"/>
    <w:rsid w:val="00647E1D"/>
    <w:rsid w:val="006579E4"/>
    <w:rsid w:val="006749DE"/>
    <w:rsid w:val="00690A79"/>
    <w:rsid w:val="006917C7"/>
    <w:rsid w:val="00693FA1"/>
    <w:rsid w:val="0069788B"/>
    <w:rsid w:val="006A2007"/>
    <w:rsid w:val="006A46C4"/>
    <w:rsid w:val="006A701F"/>
    <w:rsid w:val="006B26F6"/>
    <w:rsid w:val="006B43A2"/>
    <w:rsid w:val="006C5EC4"/>
    <w:rsid w:val="006E7E3A"/>
    <w:rsid w:val="0070395B"/>
    <w:rsid w:val="007059CC"/>
    <w:rsid w:val="00711A13"/>
    <w:rsid w:val="007125D4"/>
    <w:rsid w:val="00716304"/>
    <w:rsid w:val="007171BA"/>
    <w:rsid w:val="00733BFC"/>
    <w:rsid w:val="007A5986"/>
    <w:rsid w:val="007E4239"/>
    <w:rsid w:val="007E57E2"/>
    <w:rsid w:val="007E78CF"/>
    <w:rsid w:val="007E7C32"/>
    <w:rsid w:val="007F1B6C"/>
    <w:rsid w:val="007F31E0"/>
    <w:rsid w:val="0080017B"/>
    <w:rsid w:val="00801CB0"/>
    <w:rsid w:val="00823953"/>
    <w:rsid w:val="00824893"/>
    <w:rsid w:val="00832A88"/>
    <w:rsid w:val="00835864"/>
    <w:rsid w:val="0084277C"/>
    <w:rsid w:val="00855D47"/>
    <w:rsid w:val="008806F0"/>
    <w:rsid w:val="00880C6B"/>
    <w:rsid w:val="008827D1"/>
    <w:rsid w:val="0088754E"/>
    <w:rsid w:val="0088784B"/>
    <w:rsid w:val="00891AE2"/>
    <w:rsid w:val="00893C9E"/>
    <w:rsid w:val="008955C0"/>
    <w:rsid w:val="008A5684"/>
    <w:rsid w:val="008B1441"/>
    <w:rsid w:val="008C3958"/>
    <w:rsid w:val="008D0C3A"/>
    <w:rsid w:val="008D5768"/>
    <w:rsid w:val="008E0122"/>
    <w:rsid w:val="008E22A2"/>
    <w:rsid w:val="008E5829"/>
    <w:rsid w:val="008E7CA9"/>
    <w:rsid w:val="00930E84"/>
    <w:rsid w:val="00930FE1"/>
    <w:rsid w:val="00933A42"/>
    <w:rsid w:val="009479FA"/>
    <w:rsid w:val="00951896"/>
    <w:rsid w:val="00973DDF"/>
    <w:rsid w:val="00976B6C"/>
    <w:rsid w:val="00982F29"/>
    <w:rsid w:val="00994A6D"/>
    <w:rsid w:val="00995524"/>
    <w:rsid w:val="009B4EC6"/>
    <w:rsid w:val="009B50E6"/>
    <w:rsid w:val="009B6DC9"/>
    <w:rsid w:val="009C05BF"/>
    <w:rsid w:val="009E3095"/>
    <w:rsid w:val="009E6CE0"/>
    <w:rsid w:val="009F483C"/>
    <w:rsid w:val="00A073D8"/>
    <w:rsid w:val="00A2139C"/>
    <w:rsid w:val="00A275A1"/>
    <w:rsid w:val="00A27F54"/>
    <w:rsid w:val="00A3016A"/>
    <w:rsid w:val="00A3354F"/>
    <w:rsid w:val="00A40634"/>
    <w:rsid w:val="00A41C91"/>
    <w:rsid w:val="00A46687"/>
    <w:rsid w:val="00A516E4"/>
    <w:rsid w:val="00A5459F"/>
    <w:rsid w:val="00A57C2C"/>
    <w:rsid w:val="00A6572D"/>
    <w:rsid w:val="00A72BCC"/>
    <w:rsid w:val="00A86283"/>
    <w:rsid w:val="00AA431D"/>
    <w:rsid w:val="00AA46D3"/>
    <w:rsid w:val="00AB4C99"/>
    <w:rsid w:val="00AC51BB"/>
    <w:rsid w:val="00AF3859"/>
    <w:rsid w:val="00B168E4"/>
    <w:rsid w:val="00B27F47"/>
    <w:rsid w:val="00B351EF"/>
    <w:rsid w:val="00B45E16"/>
    <w:rsid w:val="00B464E2"/>
    <w:rsid w:val="00B47F51"/>
    <w:rsid w:val="00B54731"/>
    <w:rsid w:val="00B5713F"/>
    <w:rsid w:val="00B7131A"/>
    <w:rsid w:val="00B76633"/>
    <w:rsid w:val="00B864B6"/>
    <w:rsid w:val="00B86683"/>
    <w:rsid w:val="00B86E71"/>
    <w:rsid w:val="00B94455"/>
    <w:rsid w:val="00B97C80"/>
    <w:rsid w:val="00BA4FB8"/>
    <w:rsid w:val="00BB14BE"/>
    <w:rsid w:val="00BB7E29"/>
    <w:rsid w:val="00BC0AE7"/>
    <w:rsid w:val="00BC1119"/>
    <w:rsid w:val="00BC72B6"/>
    <w:rsid w:val="00BD0019"/>
    <w:rsid w:val="00BE22F7"/>
    <w:rsid w:val="00BE3695"/>
    <w:rsid w:val="00BE4D4C"/>
    <w:rsid w:val="00C10AAF"/>
    <w:rsid w:val="00C1678C"/>
    <w:rsid w:val="00C26759"/>
    <w:rsid w:val="00C30B83"/>
    <w:rsid w:val="00C4133C"/>
    <w:rsid w:val="00C47726"/>
    <w:rsid w:val="00C478EA"/>
    <w:rsid w:val="00C57F10"/>
    <w:rsid w:val="00C706FF"/>
    <w:rsid w:val="00C7480E"/>
    <w:rsid w:val="00CA4D22"/>
    <w:rsid w:val="00CA7DDA"/>
    <w:rsid w:val="00CB7302"/>
    <w:rsid w:val="00CC0064"/>
    <w:rsid w:val="00CD05D9"/>
    <w:rsid w:val="00CD610B"/>
    <w:rsid w:val="00CD76E5"/>
    <w:rsid w:val="00CE72A6"/>
    <w:rsid w:val="00CF3CFA"/>
    <w:rsid w:val="00D061CA"/>
    <w:rsid w:val="00D115B7"/>
    <w:rsid w:val="00D12615"/>
    <w:rsid w:val="00D225E5"/>
    <w:rsid w:val="00D27204"/>
    <w:rsid w:val="00D522A0"/>
    <w:rsid w:val="00D56543"/>
    <w:rsid w:val="00D6214C"/>
    <w:rsid w:val="00D645A9"/>
    <w:rsid w:val="00D761B6"/>
    <w:rsid w:val="00D96A65"/>
    <w:rsid w:val="00DA0FC4"/>
    <w:rsid w:val="00DA2801"/>
    <w:rsid w:val="00DA43CE"/>
    <w:rsid w:val="00DB3631"/>
    <w:rsid w:val="00DB6D3D"/>
    <w:rsid w:val="00DB7E75"/>
    <w:rsid w:val="00DD4963"/>
    <w:rsid w:val="00DE2041"/>
    <w:rsid w:val="00E53BC3"/>
    <w:rsid w:val="00E668A0"/>
    <w:rsid w:val="00E75FDE"/>
    <w:rsid w:val="00E90722"/>
    <w:rsid w:val="00E93671"/>
    <w:rsid w:val="00EB3AB1"/>
    <w:rsid w:val="00EC3B1B"/>
    <w:rsid w:val="00F0533B"/>
    <w:rsid w:val="00F15C9A"/>
    <w:rsid w:val="00F227F3"/>
    <w:rsid w:val="00F35478"/>
    <w:rsid w:val="00F36C69"/>
    <w:rsid w:val="00F555BE"/>
    <w:rsid w:val="00F617E8"/>
    <w:rsid w:val="00F649C7"/>
    <w:rsid w:val="00F672B7"/>
    <w:rsid w:val="00F7050D"/>
    <w:rsid w:val="00F81895"/>
    <w:rsid w:val="00F82E1A"/>
    <w:rsid w:val="00F87798"/>
    <w:rsid w:val="00F87B7F"/>
    <w:rsid w:val="00FA07E2"/>
    <w:rsid w:val="00FB7331"/>
    <w:rsid w:val="00FC01C6"/>
    <w:rsid w:val="00FC31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8660"/>
  <w15:chartTrackingRefBased/>
  <w15:docId w15:val="{575BC5DA-54E3-4A6E-8FF1-5D556B27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60"/>
    <w:rPr>
      <w:sz w:val="24"/>
      <w:szCs w:val="24"/>
      <w:lang w:val="es-ES" w:eastAsia="es-ES"/>
    </w:rPr>
  </w:style>
  <w:style w:type="paragraph" w:styleId="Ttulo1">
    <w:name w:val="heading 1"/>
    <w:basedOn w:val="Normal"/>
    <w:next w:val="Normal"/>
    <w:link w:val="Ttulo1Car"/>
    <w:uiPriority w:val="1"/>
    <w:qFormat/>
    <w:rsid w:val="006306F2"/>
    <w:pPr>
      <w:keepNext/>
      <w:keepLines/>
      <w:spacing w:before="240" w:line="360" w:lineRule="auto"/>
      <w:jc w:val="both"/>
      <w:outlineLvl w:val="0"/>
    </w:pPr>
    <w:rPr>
      <w:rFonts w:ascii="Trebuchet MS" w:eastAsiaTheme="majorEastAsia" w:hAnsi="Trebuchet MS" w:cstheme="majorBidi"/>
      <w:b/>
      <w:bCs/>
      <w:color w:val="D22020"/>
      <w:sz w:val="32"/>
      <w:szCs w:val="32"/>
      <w:lang w:val="es-ES_tradnl"/>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line="360" w:lineRule="auto"/>
      <w:jc w:val="both"/>
      <w:outlineLvl w:val="3"/>
    </w:pPr>
    <w:rPr>
      <w:rFonts w:ascii="Trebuchet MS" w:eastAsiaTheme="majorEastAsia" w:hAnsi="Trebuchet MS" w:cstheme="majorBidi"/>
      <w:b/>
      <w:bCs/>
      <w:color w:val="D22020"/>
      <w:sz w:val="20"/>
      <w:lang w:val="es-ES_tradnl"/>
    </w:rPr>
  </w:style>
  <w:style w:type="paragraph" w:styleId="Ttulo5">
    <w:name w:val="heading 5"/>
    <w:basedOn w:val="Normal"/>
    <w:next w:val="Normal"/>
    <w:link w:val="Ttulo5Car"/>
    <w:uiPriority w:val="9"/>
    <w:semiHidden/>
    <w:unhideWhenUsed/>
    <w:qFormat/>
    <w:rsid w:val="006306F2"/>
    <w:pPr>
      <w:keepNext/>
      <w:keepLines/>
      <w:spacing w:before="40" w:line="360" w:lineRule="auto"/>
      <w:jc w:val="both"/>
      <w:outlineLvl w:val="4"/>
    </w:pPr>
    <w:rPr>
      <w:rFonts w:ascii="Trebuchet MS" w:eastAsiaTheme="majorEastAsia" w:hAnsi="Trebuchet MS" w:cstheme="majorBidi"/>
      <w:b/>
      <w:bCs/>
      <w:color w:val="D22020"/>
      <w:sz w:val="20"/>
      <w:lang w:val="es-ES_tradnl"/>
    </w:rPr>
  </w:style>
  <w:style w:type="paragraph" w:styleId="Ttulo6">
    <w:name w:val="heading 6"/>
    <w:basedOn w:val="Normal"/>
    <w:next w:val="Normal"/>
    <w:link w:val="Ttulo6Car"/>
    <w:uiPriority w:val="9"/>
    <w:semiHidden/>
    <w:unhideWhenUsed/>
    <w:qFormat/>
    <w:rsid w:val="006306F2"/>
    <w:pPr>
      <w:keepNext/>
      <w:keepLines/>
      <w:spacing w:before="40" w:line="360" w:lineRule="auto"/>
      <w:jc w:val="both"/>
      <w:outlineLvl w:val="5"/>
    </w:pPr>
    <w:rPr>
      <w:rFonts w:ascii="Trebuchet MS" w:eastAsiaTheme="majorEastAsia" w:hAnsi="Trebuchet MS" w:cstheme="majorBidi"/>
      <w:b/>
      <w:bCs/>
      <w:color w:val="404040"/>
      <w:sz w:val="20"/>
      <w:lang w:val="es-ES_tradnl"/>
    </w:rPr>
  </w:style>
  <w:style w:type="paragraph" w:styleId="Ttulo7">
    <w:name w:val="heading 7"/>
    <w:basedOn w:val="Normal"/>
    <w:next w:val="Normal"/>
    <w:link w:val="Ttulo7Car"/>
    <w:uiPriority w:val="9"/>
    <w:semiHidden/>
    <w:unhideWhenUsed/>
    <w:qFormat/>
    <w:rsid w:val="006306F2"/>
    <w:pPr>
      <w:keepNext/>
      <w:keepLines/>
      <w:spacing w:before="40" w:line="360" w:lineRule="auto"/>
      <w:jc w:val="both"/>
      <w:outlineLvl w:val="6"/>
    </w:pPr>
    <w:rPr>
      <w:rFonts w:ascii="Trebuchet MS" w:eastAsiaTheme="majorEastAsia" w:hAnsi="Trebuchet MS" w:cstheme="majorBidi"/>
      <w:i/>
      <w:iCs/>
      <w:color w:val="404040"/>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spacing w:after="200" w:line="360" w:lineRule="auto"/>
      <w:jc w:val="both"/>
    </w:pPr>
    <w:rPr>
      <w:rFonts w:ascii="Trebuchet MS" w:hAnsi="Trebuchet MS"/>
      <w:sz w:val="20"/>
      <w:lang w:val="x-none" w:eastAsia="x-none"/>
    </w:rPr>
  </w:style>
  <w:style w:type="paragraph" w:styleId="Piedepgina">
    <w:name w:val="footer"/>
    <w:basedOn w:val="Normal"/>
    <w:link w:val="PiedepginaCar"/>
    <w:uiPriority w:val="99"/>
    <w:rsid w:val="001C667B"/>
    <w:pPr>
      <w:tabs>
        <w:tab w:val="center" w:pos="4252"/>
        <w:tab w:val="right" w:pos="8504"/>
      </w:tabs>
      <w:spacing w:after="200" w:line="360" w:lineRule="auto"/>
      <w:jc w:val="both"/>
    </w:pPr>
    <w:rPr>
      <w:rFonts w:ascii="Trebuchet MS" w:hAnsi="Trebuchet MS"/>
      <w:sz w:val="20"/>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pPr>
      <w:spacing w:after="200" w:line="360" w:lineRule="auto"/>
      <w:jc w:val="both"/>
    </w:pPr>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pPr>
      <w:spacing w:after="200" w:line="360" w:lineRule="auto"/>
      <w:jc w:val="both"/>
    </w:pPr>
    <w:rPr>
      <w:rFonts w:ascii="Trebuchet MS" w:hAnsi="Trebuchet MS"/>
      <w:color w:val="808080"/>
      <w:sz w:val="16"/>
      <w:lang w:val="es-ES_tradnl"/>
    </w:rPr>
  </w:style>
  <w:style w:type="paragraph" w:customStyle="1" w:styleId="Piedepginaderecha">
    <w:name w:val="Pie de página derecha"/>
    <w:basedOn w:val="Normal"/>
    <w:rsid w:val="00B351EF"/>
    <w:pPr>
      <w:spacing w:after="200" w:line="360" w:lineRule="auto"/>
      <w:jc w:val="right"/>
    </w:pPr>
    <w:rPr>
      <w:rFonts w:ascii="Trebuchet MS" w:hAnsi="Trebuchet MS"/>
      <w:color w:val="808080"/>
      <w:sz w:val="16"/>
      <w:lang w:val="es-ES_tradnl"/>
    </w:rPr>
  </w:style>
  <w:style w:type="paragraph" w:styleId="NormalWeb">
    <w:name w:val="Normal (Web)"/>
    <w:basedOn w:val="Normal"/>
    <w:uiPriority w:val="99"/>
    <w:semiHidden/>
    <w:unhideWhenUsed/>
    <w:rsid w:val="00933A42"/>
    <w:pPr>
      <w:spacing w:before="100" w:beforeAutospacing="1" w:after="100" w:afterAutospacing="1"/>
    </w:pPr>
    <w:rPr>
      <w:lang w:val="es-ES_tradnl"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1"/>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Textoindependiente">
    <w:name w:val="Body Text"/>
    <w:basedOn w:val="Normal"/>
    <w:link w:val="TextoindependienteCar"/>
    <w:uiPriority w:val="1"/>
    <w:qFormat/>
    <w:rsid w:val="00C1678C"/>
    <w:pPr>
      <w:widowControl w:val="0"/>
      <w:autoSpaceDE w:val="0"/>
      <w:autoSpaceDN w:val="0"/>
      <w:adjustRightInd w:val="0"/>
      <w:spacing w:before="21"/>
      <w:ind w:left="921"/>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1"/>
    <w:rsid w:val="00C1678C"/>
    <w:rPr>
      <w:rFonts w:ascii="Calibri" w:eastAsiaTheme="minorEastAsia" w:hAnsi="Calibri" w:cs="Calibri"/>
      <w:sz w:val="22"/>
      <w:szCs w:val="22"/>
      <w:lang w:val="es-ES" w:eastAsia="es-ES"/>
    </w:rPr>
  </w:style>
  <w:style w:type="paragraph" w:styleId="Textosinformato">
    <w:name w:val="Plain Text"/>
    <w:basedOn w:val="Normal"/>
    <w:link w:val="TextosinformatoCar"/>
    <w:uiPriority w:val="99"/>
    <w:unhideWhenUsed/>
    <w:rsid w:val="00553801"/>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553801"/>
    <w:rPr>
      <w:rFonts w:ascii="Calibri" w:eastAsiaTheme="minorHAnsi" w:hAnsi="Calibri" w:cs="Consolas"/>
      <w:sz w:val="22"/>
      <w:szCs w:val="21"/>
      <w:lang w:val="es-ES" w:eastAsia="en-US"/>
    </w:rPr>
  </w:style>
  <w:style w:type="character" w:customStyle="1" w:styleId="summary">
    <w:name w:val="summary"/>
    <w:basedOn w:val="Fuentedeprrafopredeter"/>
    <w:rsid w:val="00553801"/>
  </w:style>
  <w:style w:type="paragraph" w:customStyle="1" w:styleId="Default">
    <w:name w:val="Default"/>
    <w:rsid w:val="00693FA1"/>
    <w:pPr>
      <w:autoSpaceDE w:val="0"/>
      <w:autoSpaceDN w:val="0"/>
      <w:adjustRightInd w:val="0"/>
    </w:pPr>
    <w:rPr>
      <w:rFonts w:ascii="Trebuchet MS" w:hAnsi="Trebuchet MS" w:cs="Trebuchet MS"/>
      <w:color w:val="000000"/>
      <w:sz w:val="24"/>
      <w:szCs w:val="24"/>
      <w:lang w:val="es-ES"/>
    </w:rPr>
  </w:style>
  <w:style w:type="paragraph" w:customStyle="1" w:styleId="HTMLBody">
    <w:name w:val="HTML Body"/>
    <w:rsid w:val="006C5EC4"/>
    <w:pPr>
      <w:autoSpaceDE w:val="0"/>
      <w:autoSpaceDN w:val="0"/>
      <w:adjustRightInd w:val="0"/>
    </w:pPr>
    <w:rPr>
      <w:rFonts w:ascii="Arial" w:hAnsi="Arial"/>
      <w:lang w:val="es-ES" w:eastAsia="es-ES"/>
    </w:rPr>
  </w:style>
  <w:style w:type="paragraph" w:styleId="Prrafodelista">
    <w:name w:val="List Paragraph"/>
    <w:basedOn w:val="Normal"/>
    <w:uiPriority w:val="72"/>
    <w:rsid w:val="006C5EC4"/>
    <w:pPr>
      <w:ind w:left="720"/>
      <w:contextualSpacing/>
    </w:pPr>
  </w:style>
  <w:style w:type="character" w:customStyle="1" w:styleId="UnresolvedMention">
    <w:name w:val="Unresolved Mention"/>
    <w:basedOn w:val="Fuentedeprrafopredeter"/>
    <w:uiPriority w:val="99"/>
    <w:semiHidden/>
    <w:unhideWhenUsed/>
    <w:rsid w:val="00F6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25414912">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14217923">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10378281">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nsferencia.usal.es/convocatoria-interna-ramon-y-caja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i.gob.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9FDA343DF43E2B4E3B5846A1B99A5"/>
        <w:category>
          <w:name w:val="General"/>
          <w:gallery w:val="placeholder"/>
        </w:category>
        <w:types>
          <w:type w:val="bbPlcHdr"/>
        </w:types>
        <w:behaviors>
          <w:behavior w:val="content"/>
        </w:behaviors>
        <w:guid w:val="{FED80F22-EB70-4698-A030-7B6A62801B7B}"/>
      </w:docPartPr>
      <w:docPartBody>
        <w:p w:rsidR="00E2747F" w:rsidRDefault="007A78C8" w:rsidP="007A78C8">
          <w:pPr>
            <w:pStyle w:val="EB49FDA343DF43E2B4E3B5846A1B99A5"/>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C8"/>
    <w:rsid w:val="0018660E"/>
    <w:rsid w:val="002B63AB"/>
    <w:rsid w:val="004A291E"/>
    <w:rsid w:val="007A78C8"/>
    <w:rsid w:val="00E27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439341F8174E6EB0CFDAF72247FEE1">
    <w:name w:val="EB439341F8174E6EB0CFDAF72247FEE1"/>
    <w:rsid w:val="007A78C8"/>
  </w:style>
  <w:style w:type="paragraph" w:customStyle="1" w:styleId="EB49FDA343DF43E2B4E3B5846A1B99A5">
    <w:name w:val="EB49FDA343DF43E2B4E3B5846A1B99A5"/>
    <w:rsid w:val="007A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871E-8754-4BF1-A977-642D3FBE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Barcelo.dotx</Template>
  <TotalTime>11</TotalTime>
  <Pages>2</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5415</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5</cp:revision>
  <cp:lastPrinted>2021-05-19T09:29:00Z</cp:lastPrinted>
  <dcterms:created xsi:type="dcterms:W3CDTF">2023-01-09T15:43:00Z</dcterms:created>
  <dcterms:modified xsi:type="dcterms:W3CDTF">2023-12-15T09:47:00Z</dcterms:modified>
</cp:coreProperties>
</file>