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1BD" w:rsidRDefault="007C3F2F">
      <w:pPr>
        <w:spacing w:after="0"/>
        <w:ind w:right="469"/>
        <w:jc w:val="right"/>
      </w:pPr>
      <w:bookmarkStart w:id="0" w:name="_GoBack"/>
      <w:bookmarkEnd w:id="0"/>
      <w:r>
        <w:rPr>
          <w:noProof/>
        </w:rPr>
        <w:drawing>
          <wp:anchor distT="0" distB="0" distL="114300" distR="114300" simplePos="0" relativeHeight="251658240" behindDoc="0" locked="0" layoutInCell="1" allowOverlap="0">
            <wp:simplePos x="0" y="0"/>
            <wp:positionH relativeFrom="column">
              <wp:posOffset>-2641</wp:posOffset>
            </wp:positionH>
            <wp:positionV relativeFrom="paragraph">
              <wp:posOffset>-471677</wp:posOffset>
            </wp:positionV>
            <wp:extent cx="2917825" cy="144653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5"/>
                    <a:stretch>
                      <a:fillRect/>
                    </a:stretch>
                  </pic:blipFill>
                  <pic:spPr>
                    <a:xfrm>
                      <a:off x="0" y="0"/>
                      <a:ext cx="2917825" cy="1446530"/>
                    </a:xfrm>
                    <a:prstGeom prst="rect">
                      <a:avLst/>
                    </a:prstGeom>
                  </pic:spPr>
                </pic:pic>
              </a:graphicData>
            </a:graphic>
          </wp:anchor>
        </w:drawing>
      </w:r>
      <w:r>
        <w:rPr>
          <w:rFonts w:ascii="Trebuchet MS" w:eastAsia="Trebuchet MS" w:hAnsi="Trebuchet MS" w:cs="Trebuchet MS"/>
          <w:b/>
          <w:color w:val="CE071D"/>
          <w:sz w:val="18"/>
        </w:rPr>
        <w:t xml:space="preserve">VICERRECTORADO DE INVESTIGACIÓN Y </w:t>
      </w:r>
    </w:p>
    <w:p w:rsidR="00FC51BD" w:rsidRDefault="007C3F2F">
      <w:pPr>
        <w:spacing w:after="0"/>
        <w:ind w:left="2572"/>
        <w:jc w:val="center"/>
      </w:pPr>
      <w:r>
        <w:rPr>
          <w:rFonts w:ascii="Trebuchet MS" w:eastAsia="Trebuchet MS" w:hAnsi="Trebuchet MS" w:cs="Trebuchet MS"/>
          <w:b/>
          <w:color w:val="CE071D"/>
          <w:sz w:val="18"/>
        </w:rPr>
        <w:t xml:space="preserve">TRANSFERENCIA </w:t>
      </w:r>
    </w:p>
    <w:p w:rsidR="00FC51BD" w:rsidRDefault="007C3F2F">
      <w:pPr>
        <w:spacing w:after="0"/>
        <w:ind w:right="803"/>
        <w:jc w:val="right"/>
      </w:pPr>
      <w:r>
        <w:rPr>
          <w:rFonts w:ascii="Times New Roman" w:eastAsia="Times New Roman" w:hAnsi="Times New Roman" w:cs="Times New Roman"/>
          <w:sz w:val="18"/>
        </w:rPr>
        <w:t xml:space="preserve"> Patio de Escuelas, nº1 37008 Salamanca </w:t>
      </w:r>
    </w:p>
    <w:p w:rsidR="00FC51BD" w:rsidRDefault="007C3F2F">
      <w:pPr>
        <w:spacing w:after="1287" w:line="238" w:lineRule="auto"/>
        <w:ind w:left="4913" w:firstLine="48"/>
      </w:pPr>
      <w:r>
        <w:rPr>
          <w:rFonts w:ascii="Times New Roman" w:eastAsia="Times New Roman" w:hAnsi="Times New Roman" w:cs="Times New Roman"/>
          <w:sz w:val="18"/>
        </w:rPr>
        <w:t xml:space="preserve"> Tel.: +34 923 29 44 30 Fax: +34 923 29 45 00 </w:t>
      </w:r>
      <w:hyperlink r:id="rId6">
        <w:r>
          <w:rPr>
            <w:rFonts w:ascii="Trebuchet MS" w:eastAsia="Trebuchet MS" w:hAnsi="Trebuchet MS" w:cs="Trebuchet MS"/>
            <w:sz w:val="16"/>
          </w:rPr>
          <w:t xml:space="preserve"> </w:t>
        </w:r>
      </w:hyperlink>
      <w:hyperlink r:id="rId7">
        <w:r>
          <w:rPr>
            <w:rFonts w:ascii="Times New Roman" w:eastAsia="Times New Roman" w:hAnsi="Times New Roman" w:cs="Times New Roman"/>
            <w:color w:val="0000FF"/>
            <w:sz w:val="18"/>
            <w:u w:val="single" w:color="0000FF"/>
          </w:rPr>
          <w:t>www.usal.es</w:t>
        </w:r>
      </w:hyperlink>
      <w:hyperlink r:id="rId8">
        <w:r>
          <w:rPr>
            <w:rFonts w:ascii="Times New Roman" w:eastAsia="Times New Roman" w:hAnsi="Times New Roman" w:cs="Times New Roman"/>
            <w:sz w:val="18"/>
          </w:rPr>
          <w:t xml:space="preserve">  </w:t>
        </w:r>
      </w:hyperlink>
      <w:r>
        <w:rPr>
          <w:rFonts w:ascii="Times New Roman" w:eastAsia="Times New Roman" w:hAnsi="Times New Roman" w:cs="Times New Roman"/>
          <w:sz w:val="18"/>
        </w:rPr>
        <w:t xml:space="preserve"> </w:t>
      </w:r>
      <w:r>
        <w:rPr>
          <w:rFonts w:ascii="Times New Roman" w:eastAsia="Times New Roman" w:hAnsi="Times New Roman" w:cs="Times New Roman"/>
          <w:color w:val="0000FF"/>
          <w:sz w:val="18"/>
        </w:rPr>
        <w:t>vic.investigacion@usal.es</w:t>
      </w:r>
      <w:r>
        <w:rPr>
          <w:rFonts w:ascii="Times New Roman" w:eastAsia="Times New Roman" w:hAnsi="Times New Roman" w:cs="Times New Roman"/>
          <w:sz w:val="18"/>
        </w:rPr>
        <w:t xml:space="preserve"> </w:t>
      </w:r>
    </w:p>
    <w:p w:rsidR="00FC51BD" w:rsidRPr="00F34E78" w:rsidRDefault="007C3F2F">
      <w:pPr>
        <w:pStyle w:val="Ttulo1"/>
      </w:pPr>
      <w:r w:rsidRPr="00F34E78">
        <w:t xml:space="preserve">AYUDAS JUAN DE LA CIERVA-incorporación </w:t>
      </w:r>
    </w:p>
    <w:p w:rsidR="00FC51BD" w:rsidRPr="00F34E78" w:rsidRDefault="007C3F2F" w:rsidP="00F34E78">
      <w:pPr>
        <w:spacing w:after="225" w:line="249" w:lineRule="auto"/>
        <w:ind w:left="11" w:hanging="8"/>
        <w:jc w:val="both"/>
        <w:rPr>
          <w:rFonts w:ascii="Trebuchet MS" w:eastAsia="Trebuchet MS" w:hAnsi="Trebuchet MS" w:cs="Trebuchet MS"/>
          <w:sz w:val="20"/>
        </w:rPr>
      </w:pPr>
      <w:r>
        <w:rPr>
          <w:rFonts w:ascii="Trebuchet MS" w:eastAsia="Trebuchet MS" w:hAnsi="Trebuchet MS" w:cs="Trebuchet MS"/>
          <w:sz w:val="20"/>
        </w:rPr>
        <w:t xml:space="preserve">Para participar en la convocatoria de concesión de ayudas Juan de la Cierva-incorporación, publicada por </w:t>
      </w:r>
      <w:r w:rsidRPr="00F34E78">
        <w:rPr>
          <w:rFonts w:ascii="Trebuchet MS" w:eastAsia="Trebuchet MS" w:hAnsi="Trebuchet MS" w:cs="Trebuchet MS"/>
          <w:sz w:val="20"/>
        </w:rPr>
        <w:t xml:space="preserve">Resolución de 18 de octubre de 2017, de la Presidencia de la Agencia Estatal de Investigación por la que se aprueba la convocatoria de tramitación anticipada, correspondiente al año 2017, de diversas actuaciones contempladas en el Subprograma Estatal de Formación y en el Subprograma Estatal de Incorporación, </w:t>
      </w:r>
      <w:r w:rsidR="0039501F">
        <w:rPr>
          <w:i/>
        </w:rPr>
        <w:t xml:space="preserve">del Programa Estatal de Promoción del Talento y su Empleabilidad, en el marco del Plan Estatal de I+D+i </w:t>
      </w:r>
      <w:r w:rsidR="0039501F" w:rsidRPr="00724DFC">
        <w:rPr>
          <w:szCs w:val="20"/>
        </w:rPr>
        <w:t>201</w:t>
      </w:r>
      <w:r w:rsidR="0039501F">
        <w:rPr>
          <w:szCs w:val="20"/>
        </w:rPr>
        <w:t xml:space="preserve">7-2020 </w:t>
      </w:r>
      <w:r w:rsidRPr="00F34E78">
        <w:rPr>
          <w:rFonts w:ascii="Trebuchet MS" w:eastAsia="Trebuchet MS" w:hAnsi="Trebuchet MS" w:cs="Trebuchet MS"/>
          <w:sz w:val="20"/>
        </w:rPr>
        <w:t>Ayudas Juan de la Cierva-Incorporación</w:t>
      </w:r>
      <w:r>
        <w:rPr>
          <w:rFonts w:ascii="Trebuchet MS" w:eastAsia="Trebuchet MS" w:hAnsi="Trebuchet MS" w:cs="Trebuchet MS"/>
          <w:sz w:val="20"/>
        </w:rPr>
        <w:t xml:space="preserve">, los investigadores tutores responsables directos de la tutela y orientación del desarrollo profesional del candidato, </w:t>
      </w:r>
      <w:r w:rsidRPr="00F34E78">
        <w:rPr>
          <w:rFonts w:ascii="Trebuchet MS" w:eastAsia="Trebuchet MS" w:hAnsi="Trebuchet MS" w:cs="Trebuchet MS"/>
          <w:b/>
          <w:sz w:val="20"/>
        </w:rPr>
        <w:t xml:space="preserve">remitirán </w:t>
      </w:r>
      <w:r w:rsidR="00C156B0" w:rsidRPr="00F34E78">
        <w:rPr>
          <w:rFonts w:ascii="Trebuchet MS" w:eastAsia="Trebuchet MS" w:hAnsi="Trebuchet MS" w:cs="Trebuchet MS"/>
          <w:b/>
          <w:sz w:val="20"/>
        </w:rPr>
        <w:t xml:space="preserve">hasta </w:t>
      </w:r>
      <w:r w:rsidRPr="00F34E78">
        <w:rPr>
          <w:rFonts w:ascii="Trebuchet MS" w:eastAsia="Trebuchet MS" w:hAnsi="Trebuchet MS" w:cs="Trebuchet MS"/>
          <w:b/>
          <w:sz w:val="20"/>
        </w:rPr>
        <w:t xml:space="preserve">el día </w:t>
      </w:r>
      <w:r w:rsidR="0039501F">
        <w:rPr>
          <w:rFonts w:ascii="Trebuchet MS" w:eastAsia="Trebuchet MS" w:hAnsi="Trebuchet MS" w:cs="Trebuchet MS"/>
          <w:b/>
          <w:sz w:val="20"/>
        </w:rPr>
        <w:t xml:space="preserve">30 </w:t>
      </w:r>
      <w:r w:rsidRPr="00F34E78">
        <w:rPr>
          <w:rFonts w:ascii="Trebuchet MS" w:eastAsia="Trebuchet MS" w:hAnsi="Trebuchet MS" w:cs="Trebuchet MS"/>
          <w:b/>
          <w:sz w:val="20"/>
        </w:rPr>
        <w:t xml:space="preserve">de </w:t>
      </w:r>
      <w:r w:rsidR="0039501F">
        <w:rPr>
          <w:rFonts w:ascii="Trebuchet MS" w:eastAsia="Trebuchet MS" w:hAnsi="Trebuchet MS" w:cs="Trebuchet MS"/>
          <w:b/>
          <w:sz w:val="20"/>
        </w:rPr>
        <w:t>enero</w:t>
      </w:r>
      <w:r w:rsidRPr="00F34E78">
        <w:rPr>
          <w:rFonts w:ascii="Trebuchet MS" w:eastAsia="Trebuchet MS" w:hAnsi="Trebuchet MS" w:cs="Trebuchet MS"/>
          <w:b/>
          <w:sz w:val="20"/>
        </w:rPr>
        <w:t xml:space="preserve"> de 201</w:t>
      </w:r>
      <w:r w:rsidR="0039501F">
        <w:rPr>
          <w:rFonts w:ascii="Trebuchet MS" w:eastAsia="Trebuchet MS" w:hAnsi="Trebuchet MS" w:cs="Trebuchet MS"/>
          <w:b/>
          <w:sz w:val="20"/>
        </w:rPr>
        <w:t>9</w:t>
      </w:r>
      <w:r>
        <w:rPr>
          <w:rFonts w:ascii="Trebuchet MS" w:eastAsia="Trebuchet MS" w:hAnsi="Trebuchet MS" w:cs="Trebuchet MS"/>
          <w:sz w:val="20"/>
        </w:rPr>
        <w:t xml:space="preserve">, la siguiente documentación: </w:t>
      </w:r>
    </w:p>
    <w:p w:rsidR="007C3F2F" w:rsidRPr="00F34E78" w:rsidRDefault="00E36B66" w:rsidP="00F34E78">
      <w:pPr>
        <w:spacing w:after="225" w:line="249" w:lineRule="auto"/>
        <w:ind w:left="11" w:hanging="8"/>
        <w:jc w:val="both"/>
        <w:rPr>
          <w:rFonts w:ascii="Trebuchet MS" w:eastAsia="Trebuchet MS" w:hAnsi="Trebuchet MS" w:cs="Trebuchet MS"/>
          <w:sz w:val="20"/>
        </w:rPr>
      </w:pPr>
      <w:r w:rsidRPr="00F34E78">
        <w:rPr>
          <w:rFonts w:ascii="Trebuchet MS" w:eastAsia="Trebuchet MS" w:hAnsi="Trebuchet MS" w:cs="Trebuchet MS"/>
          <w:sz w:val="20"/>
        </w:rPr>
        <w:t>Podrán presentar solicitudes</w:t>
      </w:r>
      <w:r w:rsidR="00F34E78" w:rsidRPr="00F34E78">
        <w:rPr>
          <w:rFonts w:ascii="Trebuchet MS" w:eastAsia="Trebuchet MS" w:hAnsi="Trebuchet MS" w:cs="Trebuchet MS"/>
          <w:sz w:val="20"/>
        </w:rPr>
        <w:t xml:space="preserve"> los/las </w:t>
      </w:r>
      <w:r w:rsidR="007C3F2F" w:rsidRPr="00F34E78">
        <w:rPr>
          <w:rFonts w:ascii="Trebuchet MS" w:eastAsia="Trebuchet MS" w:hAnsi="Trebuchet MS" w:cs="Trebuchet MS"/>
          <w:sz w:val="20"/>
        </w:rPr>
        <w:t xml:space="preserve">investigadores/as responsables de Grupos de Investigacion Reconocidos o investigadores principales de proyectos de investigación en vigor </w:t>
      </w:r>
    </w:p>
    <w:p w:rsidR="00536CC3" w:rsidRPr="00536CC3" w:rsidRDefault="00F34E78" w:rsidP="00E36B66">
      <w:pPr>
        <w:pStyle w:val="Prrafodelista"/>
        <w:numPr>
          <w:ilvl w:val="0"/>
          <w:numId w:val="5"/>
        </w:numPr>
        <w:tabs>
          <w:tab w:val="left" w:pos="391"/>
        </w:tabs>
        <w:kinsoku w:val="0"/>
        <w:overflowPunct w:val="0"/>
        <w:spacing w:before="194"/>
        <w:ind w:right="99"/>
        <w:rPr>
          <w:rFonts w:ascii="Trebuchet MS" w:hAnsi="Trebuchet MS" w:cs="Trebuchet MS"/>
          <w:color w:val="000000"/>
          <w:sz w:val="20"/>
          <w:szCs w:val="20"/>
        </w:rPr>
      </w:pPr>
      <w:r w:rsidRPr="00C348A5">
        <w:rPr>
          <w:rFonts w:ascii="Trebuchet MS" w:hAnsi="Trebuchet MS" w:cs="Trebuchet MS"/>
          <w:sz w:val="20"/>
          <w:szCs w:val="20"/>
        </w:rPr>
        <w:t xml:space="preserve">La solicitud se enviará a </w:t>
      </w:r>
      <w:r w:rsidRPr="00C348A5">
        <w:rPr>
          <w:rFonts w:ascii="Trebuchet MS" w:hAnsi="Trebuchet MS" w:cs="Trebuchet MS"/>
          <w:color w:val="000000"/>
          <w:spacing w:val="12"/>
          <w:sz w:val="20"/>
          <w:szCs w:val="20"/>
        </w:rPr>
        <w:t xml:space="preserve"> </w:t>
      </w:r>
      <w:r w:rsidRPr="00C348A5">
        <w:rPr>
          <w:rFonts w:ascii="Trebuchet MS" w:hAnsi="Trebuchet MS" w:cs="Trebuchet MS"/>
          <w:color w:val="000000"/>
          <w:sz w:val="20"/>
          <w:szCs w:val="20"/>
        </w:rPr>
        <w:t>la</w:t>
      </w:r>
      <w:r w:rsidRPr="00C348A5">
        <w:rPr>
          <w:rFonts w:ascii="Trebuchet MS" w:hAnsi="Trebuchet MS" w:cs="Trebuchet MS"/>
          <w:color w:val="000000"/>
          <w:spacing w:val="12"/>
          <w:sz w:val="20"/>
          <w:szCs w:val="20"/>
        </w:rPr>
        <w:t xml:space="preserve"> </w:t>
      </w:r>
      <w:r w:rsidRPr="00C348A5">
        <w:rPr>
          <w:rFonts w:ascii="Trebuchet MS" w:hAnsi="Trebuchet MS" w:cs="Trebuchet MS"/>
          <w:color w:val="000000"/>
          <w:sz w:val="20"/>
          <w:szCs w:val="20"/>
        </w:rPr>
        <w:t>dirección</w:t>
      </w:r>
      <w:r w:rsidRPr="00C348A5">
        <w:rPr>
          <w:rFonts w:ascii="Trebuchet MS" w:hAnsi="Trebuchet MS" w:cs="Trebuchet MS"/>
          <w:color w:val="000000"/>
          <w:spacing w:val="-1"/>
          <w:sz w:val="20"/>
          <w:szCs w:val="20"/>
        </w:rPr>
        <w:t xml:space="preserve"> </w:t>
      </w:r>
      <w:r w:rsidRPr="00C348A5">
        <w:rPr>
          <w:rFonts w:ascii="Trebuchet MS" w:hAnsi="Trebuchet MS" w:cs="Trebuchet MS"/>
          <w:color w:val="000000"/>
          <w:sz w:val="20"/>
          <w:szCs w:val="20"/>
        </w:rPr>
        <w:t>de</w:t>
      </w:r>
      <w:r w:rsidRPr="00C348A5">
        <w:rPr>
          <w:rFonts w:ascii="Trebuchet MS" w:hAnsi="Trebuchet MS" w:cs="Trebuchet MS"/>
          <w:color w:val="000000"/>
          <w:spacing w:val="-2"/>
          <w:sz w:val="20"/>
          <w:szCs w:val="20"/>
        </w:rPr>
        <w:t xml:space="preserve"> </w:t>
      </w:r>
      <w:r w:rsidRPr="00C348A5">
        <w:rPr>
          <w:rFonts w:ascii="Trebuchet MS" w:hAnsi="Trebuchet MS" w:cs="Trebuchet MS"/>
          <w:color w:val="000000"/>
          <w:sz w:val="20"/>
          <w:szCs w:val="20"/>
        </w:rPr>
        <w:t>correo</w:t>
      </w:r>
      <w:r w:rsidRPr="00C348A5">
        <w:rPr>
          <w:rFonts w:ascii="Trebuchet MS" w:hAnsi="Trebuchet MS" w:cs="Trebuchet MS"/>
          <w:color w:val="000000"/>
          <w:spacing w:val="-1"/>
          <w:sz w:val="20"/>
          <w:szCs w:val="20"/>
        </w:rPr>
        <w:t xml:space="preserve"> </w:t>
      </w:r>
      <w:hyperlink r:id="rId9" w:history="1">
        <w:r w:rsidRPr="00C348A5">
          <w:rPr>
            <w:rFonts w:ascii="Trebuchet MS" w:hAnsi="Trebuchet MS" w:cs="Trebuchet MS"/>
            <w:color w:val="0000FF"/>
            <w:sz w:val="20"/>
            <w:szCs w:val="20"/>
          </w:rPr>
          <w:t>serv.agi@usal.es</w:t>
        </w:r>
      </w:hyperlink>
      <w:r w:rsidRPr="00C348A5">
        <w:rPr>
          <w:rFonts w:ascii="Trebuchet MS" w:hAnsi="Trebuchet MS" w:cs="Trebuchet MS"/>
          <w:spacing w:val="12"/>
          <w:sz w:val="20"/>
          <w:szCs w:val="20"/>
        </w:rPr>
        <w:t xml:space="preserve"> </w:t>
      </w:r>
      <w:r w:rsidRPr="00C348A5">
        <w:rPr>
          <w:rFonts w:ascii="Trebuchet MS" w:hAnsi="Trebuchet MS" w:cs="Trebuchet MS"/>
          <w:sz w:val="20"/>
          <w:szCs w:val="20"/>
        </w:rPr>
        <w:t>según</w:t>
      </w:r>
      <w:r w:rsidRPr="00C348A5">
        <w:rPr>
          <w:rFonts w:ascii="Trebuchet MS" w:hAnsi="Trebuchet MS" w:cs="Trebuchet MS"/>
          <w:spacing w:val="12"/>
          <w:sz w:val="20"/>
          <w:szCs w:val="20"/>
        </w:rPr>
        <w:t xml:space="preserve"> </w:t>
      </w:r>
      <w:r w:rsidRPr="00C348A5">
        <w:rPr>
          <w:rFonts w:ascii="Trebuchet MS" w:hAnsi="Trebuchet MS" w:cs="Trebuchet MS"/>
          <w:sz w:val="20"/>
          <w:szCs w:val="20"/>
        </w:rPr>
        <w:t>modelo</w:t>
      </w:r>
      <w:r w:rsidRPr="00C348A5">
        <w:rPr>
          <w:rFonts w:ascii="Trebuchet MS" w:hAnsi="Trebuchet MS" w:cs="Trebuchet MS"/>
          <w:spacing w:val="12"/>
          <w:sz w:val="20"/>
          <w:szCs w:val="20"/>
        </w:rPr>
        <w:t xml:space="preserve"> </w:t>
      </w:r>
      <w:r w:rsidRPr="00C348A5">
        <w:rPr>
          <w:rFonts w:ascii="Trebuchet MS" w:hAnsi="Trebuchet MS" w:cs="Trebuchet MS"/>
          <w:sz w:val="20"/>
          <w:szCs w:val="20"/>
        </w:rPr>
        <w:t>recogido</w:t>
      </w:r>
      <w:r w:rsidRPr="00C348A5">
        <w:rPr>
          <w:rFonts w:ascii="Trebuchet MS" w:hAnsi="Trebuchet MS" w:cs="Trebuchet MS"/>
          <w:spacing w:val="12"/>
          <w:sz w:val="20"/>
          <w:szCs w:val="20"/>
        </w:rPr>
        <w:t xml:space="preserve"> </w:t>
      </w:r>
      <w:r w:rsidRPr="00C348A5">
        <w:rPr>
          <w:rFonts w:ascii="Trebuchet MS" w:hAnsi="Trebuchet MS" w:cs="Trebuchet MS"/>
          <w:sz w:val="20"/>
          <w:szCs w:val="20"/>
        </w:rPr>
        <w:t>en</w:t>
      </w:r>
      <w:r w:rsidRPr="00C348A5">
        <w:rPr>
          <w:rFonts w:ascii="Trebuchet MS" w:hAnsi="Trebuchet MS" w:cs="Trebuchet MS"/>
          <w:spacing w:val="12"/>
          <w:sz w:val="20"/>
          <w:szCs w:val="20"/>
        </w:rPr>
        <w:t xml:space="preserve"> </w:t>
      </w:r>
      <w:r w:rsidRPr="00C348A5">
        <w:rPr>
          <w:rFonts w:ascii="Trebuchet MS" w:hAnsi="Trebuchet MS" w:cs="Trebuchet MS"/>
          <w:sz w:val="20"/>
          <w:szCs w:val="20"/>
        </w:rPr>
        <w:t xml:space="preserve">las direcciones web </w:t>
      </w:r>
    </w:p>
    <w:p w:rsidR="00E36B66" w:rsidRPr="00E36B66" w:rsidRDefault="00962D7F" w:rsidP="00E36B66">
      <w:hyperlink r:id="rId10" w:history="1">
        <w:r w:rsidR="00E36B66" w:rsidRPr="00F861DD">
          <w:t>https://investigacion.usal.es/</w:t>
        </w:r>
      </w:hyperlink>
    </w:p>
    <w:p w:rsidR="00F34E78" w:rsidRPr="00C348A5" w:rsidRDefault="00F34E78" w:rsidP="000A7242">
      <w:pPr>
        <w:pStyle w:val="Prrafodelista"/>
        <w:numPr>
          <w:ilvl w:val="0"/>
          <w:numId w:val="5"/>
        </w:numPr>
        <w:tabs>
          <w:tab w:val="left" w:pos="371"/>
        </w:tabs>
        <w:kinsoku w:val="0"/>
        <w:overflowPunct w:val="0"/>
        <w:rPr>
          <w:rFonts w:ascii="Trebuchet MS" w:hAnsi="Trebuchet MS" w:cs="Trebuchet MS"/>
          <w:sz w:val="20"/>
          <w:szCs w:val="20"/>
        </w:rPr>
      </w:pPr>
      <w:r w:rsidRPr="00C348A5">
        <w:rPr>
          <w:rFonts w:ascii="Trebuchet MS" w:hAnsi="Trebuchet MS" w:cs="Trebuchet MS"/>
          <w:sz w:val="20"/>
          <w:szCs w:val="20"/>
        </w:rPr>
        <w:t>Deberán remitir a la Agencia de Gestión de Investigación, los originales</w:t>
      </w:r>
      <w:r w:rsidRPr="00C348A5">
        <w:rPr>
          <w:rFonts w:ascii="Trebuchet MS" w:hAnsi="Trebuchet MS" w:cs="Trebuchet MS"/>
          <w:spacing w:val="-14"/>
          <w:sz w:val="20"/>
          <w:szCs w:val="20"/>
        </w:rPr>
        <w:t xml:space="preserve"> </w:t>
      </w:r>
      <w:r w:rsidRPr="00C348A5">
        <w:rPr>
          <w:rFonts w:ascii="Trebuchet MS" w:hAnsi="Trebuchet MS" w:cs="Trebuchet MS"/>
          <w:sz w:val="20"/>
          <w:szCs w:val="20"/>
        </w:rPr>
        <w:t>siguientes:</w:t>
      </w:r>
    </w:p>
    <w:p w:rsidR="000A7242" w:rsidRPr="000A7242" w:rsidRDefault="000A7242" w:rsidP="000A7242">
      <w:pPr>
        <w:pStyle w:val="Prrafodelista"/>
        <w:tabs>
          <w:tab w:val="left" w:pos="371"/>
        </w:tabs>
        <w:kinsoku w:val="0"/>
        <w:overflowPunct w:val="0"/>
        <w:ind w:left="460"/>
        <w:rPr>
          <w:rFonts w:cs="Trebuchet MS"/>
          <w:szCs w:val="20"/>
        </w:rPr>
      </w:pPr>
    </w:p>
    <w:p w:rsidR="00FC51BD" w:rsidRDefault="007C3F2F">
      <w:pPr>
        <w:numPr>
          <w:ilvl w:val="0"/>
          <w:numId w:val="2"/>
        </w:numPr>
        <w:spacing w:after="224" w:line="249" w:lineRule="auto"/>
        <w:ind w:hanging="234"/>
        <w:jc w:val="both"/>
      </w:pPr>
      <w:r>
        <w:rPr>
          <w:rFonts w:ascii="Trebuchet MS" w:eastAsia="Trebuchet MS" w:hAnsi="Trebuchet MS" w:cs="Trebuchet MS"/>
          <w:sz w:val="20"/>
        </w:rPr>
        <w:t xml:space="preserve">Adscripción a un Departamento: informe </w:t>
      </w:r>
      <w:r w:rsidR="00A91B21">
        <w:rPr>
          <w:rFonts w:ascii="Trebuchet MS" w:eastAsia="Trebuchet MS" w:hAnsi="Trebuchet MS" w:cs="Trebuchet MS"/>
          <w:sz w:val="20"/>
        </w:rPr>
        <w:t>motivado</w:t>
      </w:r>
      <w:r>
        <w:rPr>
          <w:rFonts w:ascii="Trebuchet MS" w:eastAsia="Trebuchet MS" w:hAnsi="Trebuchet MS" w:cs="Trebuchet MS"/>
          <w:sz w:val="20"/>
        </w:rPr>
        <w:t xml:space="preserve"> del Consejo del Departamento de la adscripción a un área de conocimiento.</w:t>
      </w:r>
    </w:p>
    <w:p w:rsidR="00FC51BD" w:rsidRDefault="007C3F2F">
      <w:pPr>
        <w:numPr>
          <w:ilvl w:val="0"/>
          <w:numId w:val="2"/>
        </w:numPr>
        <w:spacing w:after="88" w:line="388" w:lineRule="auto"/>
        <w:ind w:hanging="234"/>
        <w:jc w:val="both"/>
      </w:pPr>
      <w:r>
        <w:rPr>
          <w:rFonts w:ascii="Trebuchet MS" w:eastAsia="Trebuchet MS" w:hAnsi="Trebuchet MS" w:cs="Trebuchet MS"/>
          <w:sz w:val="20"/>
        </w:rPr>
        <w:t xml:space="preserve">Adscripción a un Instituto: Informe </w:t>
      </w:r>
      <w:r w:rsidR="00A91B21">
        <w:rPr>
          <w:rFonts w:ascii="Trebuchet MS" w:eastAsia="Trebuchet MS" w:hAnsi="Trebuchet MS" w:cs="Trebuchet MS"/>
          <w:sz w:val="20"/>
        </w:rPr>
        <w:t>motivado</w:t>
      </w:r>
      <w:r>
        <w:rPr>
          <w:rFonts w:ascii="Trebuchet MS" w:eastAsia="Trebuchet MS" w:hAnsi="Trebuchet MS" w:cs="Trebuchet MS"/>
          <w:sz w:val="20"/>
        </w:rPr>
        <w:t xml:space="preserve"> del Consejo del Departamento de la adscripción a un área de conocimiento e informe </w:t>
      </w:r>
      <w:r w:rsidR="00A91B21">
        <w:rPr>
          <w:rFonts w:ascii="Trebuchet MS" w:eastAsia="Trebuchet MS" w:hAnsi="Trebuchet MS" w:cs="Trebuchet MS"/>
          <w:sz w:val="20"/>
        </w:rPr>
        <w:t>motivado</w:t>
      </w:r>
      <w:r>
        <w:rPr>
          <w:rFonts w:ascii="Trebuchet MS" w:eastAsia="Trebuchet MS" w:hAnsi="Trebuchet MS" w:cs="Trebuchet MS"/>
          <w:sz w:val="20"/>
        </w:rPr>
        <w:t xml:space="preserve"> del Consejo de Instituto </w:t>
      </w:r>
    </w:p>
    <w:p w:rsidR="00FC51BD" w:rsidRDefault="007C3F2F">
      <w:pPr>
        <w:numPr>
          <w:ilvl w:val="0"/>
          <w:numId w:val="2"/>
        </w:numPr>
        <w:spacing w:after="222" w:line="249" w:lineRule="auto"/>
        <w:ind w:hanging="234"/>
        <w:jc w:val="both"/>
      </w:pPr>
      <w:r>
        <w:rPr>
          <w:rFonts w:ascii="Trebuchet MS" w:eastAsia="Trebuchet MS" w:hAnsi="Trebuchet MS" w:cs="Trebuchet MS"/>
          <w:sz w:val="20"/>
        </w:rPr>
        <w:t>Informe del Departamento o Instituto justificando la disponibilidad de espacio.</w:t>
      </w:r>
    </w:p>
    <w:p w:rsidR="00FC51BD" w:rsidRDefault="007C3F2F">
      <w:pPr>
        <w:spacing w:after="367" w:line="249" w:lineRule="auto"/>
        <w:ind w:left="353" w:hanging="8"/>
        <w:jc w:val="both"/>
      </w:pPr>
      <w:r>
        <w:rPr>
          <w:rFonts w:ascii="Trebuchet MS" w:eastAsia="Trebuchet MS" w:hAnsi="Trebuchet MS" w:cs="Trebuchet MS"/>
          <w:sz w:val="20"/>
        </w:rPr>
        <w:t xml:space="preserve">Además, el candidato deberá remitir: </w:t>
      </w:r>
    </w:p>
    <w:p w:rsidR="00FC51BD" w:rsidRDefault="007C3F2F">
      <w:pPr>
        <w:numPr>
          <w:ilvl w:val="0"/>
          <w:numId w:val="3"/>
        </w:numPr>
        <w:spacing w:after="8" w:line="249" w:lineRule="auto"/>
        <w:ind w:hanging="360"/>
        <w:jc w:val="both"/>
      </w:pPr>
      <w:r>
        <w:rPr>
          <w:rFonts w:ascii="Trebuchet MS" w:eastAsia="Trebuchet MS" w:hAnsi="Trebuchet MS" w:cs="Trebuchet MS"/>
          <w:sz w:val="20"/>
        </w:rPr>
        <w:t>Currículum vitae del candidato</w:t>
      </w:r>
    </w:p>
    <w:p w:rsidR="00FC51BD" w:rsidRDefault="007C3F2F">
      <w:pPr>
        <w:numPr>
          <w:ilvl w:val="0"/>
          <w:numId w:val="3"/>
        </w:numPr>
        <w:spacing w:after="8" w:line="249" w:lineRule="auto"/>
        <w:ind w:hanging="360"/>
        <w:jc w:val="both"/>
      </w:pPr>
      <w:r>
        <w:rPr>
          <w:rFonts w:ascii="Trebuchet MS" w:eastAsia="Trebuchet MS" w:hAnsi="Trebuchet MS" w:cs="Trebuchet MS"/>
          <w:sz w:val="20"/>
        </w:rPr>
        <w:t>Formulario del investigador candidato. (Art. 75.1.C) de la convocatoria)</w:t>
      </w:r>
    </w:p>
    <w:p w:rsidR="00FC51BD" w:rsidRDefault="007C3F2F">
      <w:pPr>
        <w:numPr>
          <w:ilvl w:val="0"/>
          <w:numId w:val="3"/>
        </w:numPr>
        <w:spacing w:after="8" w:line="249" w:lineRule="auto"/>
        <w:ind w:hanging="360"/>
        <w:jc w:val="both"/>
      </w:pPr>
      <w:r>
        <w:rPr>
          <w:rFonts w:ascii="Trebuchet MS" w:eastAsia="Trebuchet MS" w:hAnsi="Trebuchet MS" w:cs="Trebuchet MS"/>
          <w:sz w:val="20"/>
        </w:rPr>
        <w:t>Copia del título de doctor o de la certificación académica, donde figure indicación expresa de la fecha en la que se obtuvo el grado de doctor. (Art. 75.2.e) de la convocatoria)</w:t>
      </w:r>
    </w:p>
    <w:p w:rsidR="007F2A47" w:rsidRDefault="007F2A47" w:rsidP="00536CC3">
      <w:pPr>
        <w:spacing w:after="0" w:line="276" w:lineRule="auto"/>
        <w:ind w:left="705" w:right="11"/>
        <w:jc w:val="both"/>
        <w:rPr>
          <w:rFonts w:ascii="Trebuchet MS" w:eastAsia="Trebuchet MS" w:hAnsi="Trebuchet MS" w:cs="Trebuchet MS"/>
        </w:rPr>
      </w:pPr>
      <w:r>
        <w:t xml:space="preserve">En los supuestos de  </w:t>
      </w:r>
    </w:p>
    <w:p w:rsidR="007F2A47" w:rsidRDefault="007F2A47" w:rsidP="007F2A47">
      <w:pPr>
        <w:ind w:left="707" w:right="11"/>
      </w:pPr>
      <w:r>
        <w:rPr>
          <w:rFonts w:ascii="Arial Narrow" w:eastAsiaTheme="minorEastAsia" w:hAnsi="Arial Narrow" w:cs="Arial Narrow"/>
          <w:color w:val="auto"/>
          <w:sz w:val="19"/>
          <w:szCs w:val="19"/>
        </w:rPr>
        <w:t>1º</w:t>
      </w:r>
      <w:r>
        <w:t>. Periodos de descanso derivados de maternidad o paternidad disfrutados con arreglo a las situaciones protegidas que se recogen en el Régimen General de la Seguridad Social. Se aplicará una ampliación de 1 año por cada hijo.</w:t>
      </w:r>
    </w:p>
    <w:p w:rsidR="007F2A47" w:rsidRDefault="007F2A47" w:rsidP="007F2A47">
      <w:pPr>
        <w:ind w:left="707" w:right="11"/>
      </w:pPr>
      <w:r>
        <w:t>2º. Grave enfermedad o accidente del solicitante, con baja médica igual o superior a 3 meses. Se aplicará una ampliación igual al periodo de baja justificado, redondeando al alza a meses completos.</w:t>
      </w:r>
    </w:p>
    <w:p w:rsidR="007F2A47" w:rsidRDefault="007F2A47" w:rsidP="00536CC3">
      <w:pPr>
        <w:ind w:left="707" w:right="11"/>
      </w:pPr>
      <w:r>
        <w:lastRenderedPageBreak/>
        <w:t>3º. Atención a personas en situación de dependencia, con arreglo a lo recogido en la Ley 39/2006, de 14de diciembre, por un periodo mínimo de 3 meses. Se aplicará una ampliación igual al periodo justificado,</w:t>
      </w:r>
    </w:p>
    <w:p w:rsidR="00536CC3" w:rsidRDefault="007F2A47" w:rsidP="007F2A47">
      <w:pPr>
        <w:spacing w:after="225" w:line="249" w:lineRule="auto"/>
        <w:ind w:left="11" w:hanging="8"/>
        <w:jc w:val="both"/>
        <w:rPr>
          <w:b/>
        </w:rPr>
      </w:pPr>
      <w:r>
        <w:rPr>
          <w:b/>
        </w:rPr>
        <w:t>Deberán acreditarlo documentalmente</w:t>
      </w:r>
      <w:r w:rsidR="00536CC3">
        <w:rPr>
          <w:b/>
        </w:rPr>
        <w:t>.</w:t>
      </w:r>
    </w:p>
    <w:p w:rsidR="00FC51BD" w:rsidRDefault="007C3F2F" w:rsidP="007F2A47">
      <w:pPr>
        <w:spacing w:after="225" w:line="249" w:lineRule="auto"/>
        <w:ind w:left="11" w:hanging="8"/>
        <w:jc w:val="both"/>
      </w:pPr>
      <w:r>
        <w:rPr>
          <w:rFonts w:ascii="Trebuchet MS" w:eastAsia="Trebuchet MS" w:hAnsi="Trebuchet MS" w:cs="Trebuchet MS"/>
          <w:sz w:val="20"/>
        </w:rPr>
        <w:t xml:space="preserve">En aquellos casos en que los investigadores de la USAL tengan vinculados sus proyectos a las Fundaciones de la Universidad de Salamanca, se admitirán las solicitudes siempre que las citadas Fundaciones asuman el compromiso de financiación. </w:t>
      </w:r>
    </w:p>
    <w:p w:rsidR="00FC51BD" w:rsidRPr="00E36B66" w:rsidRDefault="007C3F2F" w:rsidP="00E36B66">
      <w:pPr>
        <w:spacing w:after="8" w:line="249" w:lineRule="auto"/>
        <w:ind w:left="12" w:hanging="8"/>
        <w:jc w:val="both"/>
      </w:pPr>
      <w:r>
        <w:rPr>
          <w:rFonts w:ascii="Trebuchet MS" w:eastAsia="Trebuchet MS" w:hAnsi="Trebuchet MS" w:cs="Trebuchet MS"/>
          <w:sz w:val="20"/>
        </w:rPr>
        <w:t xml:space="preserve">Dirección web: </w:t>
      </w:r>
    </w:p>
    <w:p w:rsidR="00E36B66" w:rsidRDefault="00962D7F">
      <w:pPr>
        <w:spacing w:after="261" w:line="249" w:lineRule="auto"/>
        <w:ind w:left="-1" w:hanging="10"/>
      </w:pPr>
      <w:hyperlink r:id="rId11" w:history="1">
        <w:r w:rsidR="00536CC3" w:rsidRPr="00C714E6">
          <w:rPr>
            <w:rStyle w:val="Hipervnculo"/>
          </w:rPr>
          <w:t>http://www.ciencia.gob.es/portal/site/MICINN/menuitem.d20caeda35a0c5dc7c68b11001432ea0/?vgnextoid=bfe8865dd69b2610VgnVCM1000001d04140aRCRD</w:t>
        </w:r>
      </w:hyperlink>
    </w:p>
    <w:p w:rsidR="00536CC3" w:rsidRDefault="00536CC3">
      <w:pPr>
        <w:spacing w:after="261" w:line="249" w:lineRule="auto"/>
        <w:ind w:left="-1" w:hanging="10"/>
      </w:pPr>
    </w:p>
    <w:p w:rsidR="00FC51BD" w:rsidRDefault="007C3F2F">
      <w:pPr>
        <w:spacing w:after="777" w:line="246" w:lineRule="auto"/>
        <w:ind w:left="25"/>
      </w:pPr>
      <w:r>
        <w:rPr>
          <w:rFonts w:ascii="Trebuchet MS" w:eastAsia="Trebuchet MS" w:hAnsi="Trebuchet MS" w:cs="Trebuchet MS"/>
          <w:sz w:val="20"/>
        </w:rPr>
        <w:t>Para cualquier duda pueden dirigir la consulta al correo serv.agi@usal.es o</w:t>
      </w:r>
      <w:r w:rsidR="00C156B0">
        <w:rPr>
          <w:rFonts w:ascii="Trebuchet MS" w:eastAsia="Trebuchet MS" w:hAnsi="Trebuchet MS" w:cs="Trebuchet MS"/>
          <w:sz w:val="20"/>
        </w:rPr>
        <w:t xml:space="preserve"> llamar a las extensiones 1267 </w:t>
      </w:r>
      <w:r>
        <w:rPr>
          <w:rFonts w:ascii="Trebuchet MS" w:eastAsia="Trebuchet MS" w:hAnsi="Trebuchet MS" w:cs="Trebuchet MS"/>
          <w:sz w:val="20"/>
        </w:rPr>
        <w:t xml:space="preserve">y 1052. </w:t>
      </w:r>
    </w:p>
    <w:p w:rsidR="00FC51BD" w:rsidRDefault="007C3F2F">
      <w:pPr>
        <w:pStyle w:val="Ttulo1"/>
        <w:spacing w:after="0"/>
        <w:ind w:right="218"/>
      </w:pPr>
      <w:r>
        <w:rPr>
          <w:rFonts w:ascii="Times New Roman" w:eastAsia="Times New Roman" w:hAnsi="Times New Roman" w:cs="Times New Roman"/>
          <w:b w:val="0"/>
          <w:sz w:val="22"/>
        </w:rPr>
        <w:t>- 1 -</w:t>
      </w:r>
    </w:p>
    <w:sectPr w:rsidR="00FC51BD">
      <w:pgSz w:w="11906" w:h="16838"/>
      <w:pgMar w:top="1440" w:right="1208" w:bottom="1440" w:left="198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618A6F0"/>
    <w:lvl w:ilvl="0">
      <w:start w:val="1"/>
      <w:numFmt w:val="upperLetter"/>
      <w:lvlText w:val="%1)"/>
      <w:lvlJc w:val="left"/>
      <w:pPr>
        <w:ind w:left="100" w:hanging="291"/>
      </w:pPr>
      <w:rPr>
        <w:rFonts w:ascii="Trebuchet MS" w:hAnsi="Trebuchet MS" w:cs="Trebuchet MS"/>
        <w:b w:val="0"/>
        <w:bCs w:val="0"/>
        <w:color w:val="auto"/>
        <w:w w:val="99"/>
        <w:sz w:val="22"/>
        <w:szCs w:val="22"/>
      </w:rPr>
    </w:lvl>
    <w:lvl w:ilvl="1">
      <w:numFmt w:val="bullet"/>
      <w:lvlText w:val="•"/>
      <w:lvlJc w:val="left"/>
      <w:pPr>
        <w:ind w:left="1132" w:hanging="291"/>
      </w:pPr>
    </w:lvl>
    <w:lvl w:ilvl="2">
      <w:numFmt w:val="bullet"/>
      <w:lvlText w:val="•"/>
      <w:lvlJc w:val="left"/>
      <w:pPr>
        <w:ind w:left="2165" w:hanging="291"/>
      </w:pPr>
    </w:lvl>
    <w:lvl w:ilvl="3">
      <w:numFmt w:val="bullet"/>
      <w:lvlText w:val="•"/>
      <w:lvlJc w:val="left"/>
      <w:pPr>
        <w:ind w:left="3197" w:hanging="291"/>
      </w:pPr>
    </w:lvl>
    <w:lvl w:ilvl="4">
      <w:numFmt w:val="bullet"/>
      <w:lvlText w:val="•"/>
      <w:lvlJc w:val="left"/>
      <w:pPr>
        <w:ind w:left="4230" w:hanging="291"/>
      </w:pPr>
    </w:lvl>
    <w:lvl w:ilvl="5">
      <w:numFmt w:val="bullet"/>
      <w:lvlText w:val="•"/>
      <w:lvlJc w:val="left"/>
      <w:pPr>
        <w:ind w:left="5262" w:hanging="291"/>
      </w:pPr>
    </w:lvl>
    <w:lvl w:ilvl="6">
      <w:numFmt w:val="bullet"/>
      <w:lvlText w:val="•"/>
      <w:lvlJc w:val="left"/>
      <w:pPr>
        <w:ind w:left="6295" w:hanging="291"/>
      </w:pPr>
    </w:lvl>
    <w:lvl w:ilvl="7">
      <w:numFmt w:val="bullet"/>
      <w:lvlText w:val="•"/>
      <w:lvlJc w:val="left"/>
      <w:pPr>
        <w:ind w:left="7327" w:hanging="291"/>
      </w:pPr>
    </w:lvl>
    <w:lvl w:ilvl="8">
      <w:numFmt w:val="bullet"/>
      <w:lvlText w:val="•"/>
      <w:lvlJc w:val="left"/>
      <w:pPr>
        <w:ind w:left="8360" w:hanging="291"/>
      </w:pPr>
    </w:lvl>
  </w:abstractNum>
  <w:abstractNum w:abstractNumId="1" w15:restartNumberingAfterBreak="0">
    <w:nsid w:val="1CEF2B19"/>
    <w:multiLevelType w:val="hybridMultilevel"/>
    <w:tmpl w:val="479A6724"/>
    <w:lvl w:ilvl="0" w:tplc="6D4C953C">
      <w:start w:val="1"/>
      <w:numFmt w:val="decimal"/>
      <w:lvlText w:val="%1."/>
      <w:lvlJc w:val="left"/>
      <w:pPr>
        <w:ind w:left="57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BD2CD638">
      <w:start w:val="1"/>
      <w:numFmt w:val="lowerLetter"/>
      <w:lvlText w:val="%2"/>
      <w:lvlJc w:val="left"/>
      <w:pPr>
        <w:ind w:left="143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DDCA3148">
      <w:start w:val="1"/>
      <w:numFmt w:val="lowerRoman"/>
      <w:lvlText w:val="%3"/>
      <w:lvlJc w:val="left"/>
      <w:pPr>
        <w:ind w:left="215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06FAE2E4">
      <w:start w:val="1"/>
      <w:numFmt w:val="decimal"/>
      <w:lvlText w:val="%4"/>
      <w:lvlJc w:val="left"/>
      <w:pPr>
        <w:ind w:left="287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DD22E532">
      <w:start w:val="1"/>
      <w:numFmt w:val="lowerLetter"/>
      <w:lvlText w:val="%5"/>
      <w:lvlJc w:val="left"/>
      <w:pPr>
        <w:ind w:left="359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D121366">
      <w:start w:val="1"/>
      <w:numFmt w:val="lowerRoman"/>
      <w:lvlText w:val="%6"/>
      <w:lvlJc w:val="left"/>
      <w:pPr>
        <w:ind w:left="431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88383AA2">
      <w:start w:val="1"/>
      <w:numFmt w:val="decimal"/>
      <w:lvlText w:val="%7"/>
      <w:lvlJc w:val="left"/>
      <w:pPr>
        <w:ind w:left="503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AC6E81CA">
      <w:start w:val="1"/>
      <w:numFmt w:val="lowerLetter"/>
      <w:lvlText w:val="%8"/>
      <w:lvlJc w:val="left"/>
      <w:pPr>
        <w:ind w:left="575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C30A034">
      <w:start w:val="1"/>
      <w:numFmt w:val="lowerRoman"/>
      <w:lvlText w:val="%9"/>
      <w:lvlJc w:val="left"/>
      <w:pPr>
        <w:ind w:left="647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6233B8B"/>
    <w:multiLevelType w:val="hybridMultilevel"/>
    <w:tmpl w:val="7CB0F2AC"/>
    <w:lvl w:ilvl="0" w:tplc="6DC6A076">
      <w:start w:val="1"/>
      <w:numFmt w:val="upperLetter"/>
      <w:lvlText w:val="%1)"/>
      <w:lvlJc w:val="left"/>
      <w:pPr>
        <w:ind w:left="460" w:hanging="360"/>
      </w:pPr>
      <w:rPr>
        <w:rFonts w:hint="default"/>
        <w:color w:val="auto"/>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3" w15:restartNumberingAfterBreak="0">
    <w:nsid w:val="29CC30BB"/>
    <w:multiLevelType w:val="hybridMultilevel"/>
    <w:tmpl w:val="7C2E65A6"/>
    <w:lvl w:ilvl="0" w:tplc="1E32EF0A">
      <w:start w:val="1"/>
      <w:numFmt w:val="bullet"/>
      <w:lvlText w:val="•"/>
      <w:lvlJc w:val="left"/>
      <w:pPr>
        <w:ind w:left="70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21E2C4E">
      <w:start w:val="1"/>
      <w:numFmt w:val="bullet"/>
      <w:lvlText w:val="o"/>
      <w:lvlJc w:val="left"/>
      <w:pPr>
        <w:ind w:left="144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2DE4FA40">
      <w:start w:val="1"/>
      <w:numFmt w:val="bullet"/>
      <w:lvlText w:val="▪"/>
      <w:lvlJc w:val="left"/>
      <w:pPr>
        <w:ind w:left="216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EC4CE680">
      <w:start w:val="1"/>
      <w:numFmt w:val="bullet"/>
      <w:lvlText w:val="•"/>
      <w:lvlJc w:val="left"/>
      <w:pPr>
        <w:ind w:left="288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4A6FD14">
      <w:start w:val="1"/>
      <w:numFmt w:val="bullet"/>
      <w:lvlText w:val="o"/>
      <w:lvlJc w:val="left"/>
      <w:pPr>
        <w:ind w:left="360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89F02204">
      <w:start w:val="1"/>
      <w:numFmt w:val="bullet"/>
      <w:lvlText w:val="▪"/>
      <w:lvlJc w:val="left"/>
      <w:pPr>
        <w:ind w:left="432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E149AB8">
      <w:start w:val="1"/>
      <w:numFmt w:val="bullet"/>
      <w:lvlText w:val="•"/>
      <w:lvlJc w:val="left"/>
      <w:pPr>
        <w:ind w:left="504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29E45AB8">
      <w:start w:val="1"/>
      <w:numFmt w:val="bullet"/>
      <w:lvlText w:val="o"/>
      <w:lvlJc w:val="left"/>
      <w:pPr>
        <w:ind w:left="576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D3FAD920">
      <w:start w:val="1"/>
      <w:numFmt w:val="bullet"/>
      <w:lvlText w:val="▪"/>
      <w:lvlJc w:val="left"/>
      <w:pPr>
        <w:ind w:left="648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2BEB0E2E"/>
    <w:multiLevelType w:val="hybridMultilevel"/>
    <w:tmpl w:val="60E0CE9C"/>
    <w:lvl w:ilvl="0" w:tplc="B29EE630">
      <w:start w:val="1"/>
      <w:numFmt w:val="upperLetter"/>
      <w:lvlText w:val="%1)"/>
      <w:lvlJc w:val="left"/>
      <w:pPr>
        <w:ind w:left="70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3FECB568">
      <w:start w:val="1"/>
      <w:numFmt w:val="lowerLetter"/>
      <w:lvlText w:val="%2"/>
      <w:lvlJc w:val="left"/>
      <w:pPr>
        <w:ind w:left="143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0046DB76">
      <w:start w:val="1"/>
      <w:numFmt w:val="lowerRoman"/>
      <w:lvlText w:val="%3"/>
      <w:lvlJc w:val="left"/>
      <w:pPr>
        <w:ind w:left="215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DE807654">
      <w:start w:val="1"/>
      <w:numFmt w:val="decimal"/>
      <w:lvlText w:val="%4"/>
      <w:lvlJc w:val="left"/>
      <w:pPr>
        <w:ind w:left="287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F3606476">
      <w:start w:val="1"/>
      <w:numFmt w:val="lowerLetter"/>
      <w:lvlText w:val="%5"/>
      <w:lvlJc w:val="left"/>
      <w:pPr>
        <w:ind w:left="359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5A9466B4">
      <w:start w:val="1"/>
      <w:numFmt w:val="lowerRoman"/>
      <w:lvlText w:val="%6"/>
      <w:lvlJc w:val="left"/>
      <w:pPr>
        <w:ind w:left="431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8F00782C">
      <w:start w:val="1"/>
      <w:numFmt w:val="decimal"/>
      <w:lvlText w:val="%7"/>
      <w:lvlJc w:val="left"/>
      <w:pPr>
        <w:ind w:left="503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A1887C38">
      <w:start w:val="1"/>
      <w:numFmt w:val="lowerLetter"/>
      <w:lvlText w:val="%8"/>
      <w:lvlJc w:val="left"/>
      <w:pPr>
        <w:ind w:left="575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0114C140">
      <w:start w:val="1"/>
      <w:numFmt w:val="lowerRoman"/>
      <w:lvlText w:val="%9"/>
      <w:lvlJc w:val="left"/>
      <w:pPr>
        <w:ind w:left="647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DE328D9"/>
    <w:multiLevelType w:val="hybridMultilevel"/>
    <w:tmpl w:val="8382B83C"/>
    <w:lvl w:ilvl="0" w:tplc="6838A5E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34C276">
      <w:start w:val="1"/>
      <w:numFmt w:val="bullet"/>
      <w:lvlText w:val="o"/>
      <w:lvlJc w:val="left"/>
      <w:pPr>
        <w:ind w:left="1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9473CE">
      <w:start w:val="1"/>
      <w:numFmt w:val="bullet"/>
      <w:lvlText w:val="▪"/>
      <w:lvlJc w:val="left"/>
      <w:pPr>
        <w:ind w:left="2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AC0ECA">
      <w:start w:val="1"/>
      <w:numFmt w:val="bullet"/>
      <w:lvlText w:val="•"/>
      <w:lvlJc w:val="left"/>
      <w:pPr>
        <w:ind w:left="2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CEB74E">
      <w:start w:val="1"/>
      <w:numFmt w:val="bullet"/>
      <w:lvlText w:val="o"/>
      <w:lvlJc w:val="left"/>
      <w:pPr>
        <w:ind w:left="3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8A6B96">
      <w:start w:val="1"/>
      <w:numFmt w:val="bullet"/>
      <w:lvlText w:val="▪"/>
      <w:lvlJc w:val="left"/>
      <w:pPr>
        <w:ind w:left="4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383BF2">
      <w:start w:val="1"/>
      <w:numFmt w:val="bullet"/>
      <w:lvlText w:val="•"/>
      <w:lvlJc w:val="left"/>
      <w:pPr>
        <w:ind w:left="5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C626FE">
      <w:start w:val="1"/>
      <w:numFmt w:val="bullet"/>
      <w:lvlText w:val="o"/>
      <w:lvlJc w:val="left"/>
      <w:pPr>
        <w:ind w:left="57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506F40">
      <w:start w:val="1"/>
      <w:numFmt w:val="bullet"/>
      <w:lvlText w:val="▪"/>
      <w:lvlJc w:val="left"/>
      <w:pPr>
        <w:ind w:left="64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06371D1"/>
    <w:multiLevelType w:val="hybridMultilevel"/>
    <w:tmpl w:val="7CB0F2AC"/>
    <w:lvl w:ilvl="0" w:tplc="6DC6A076">
      <w:start w:val="1"/>
      <w:numFmt w:val="upperLetter"/>
      <w:lvlText w:val="%1)"/>
      <w:lvlJc w:val="left"/>
      <w:pPr>
        <w:ind w:left="460" w:hanging="360"/>
      </w:pPr>
      <w:rPr>
        <w:rFonts w:hint="default"/>
        <w:color w:val="auto"/>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BD"/>
    <w:rsid w:val="000A7242"/>
    <w:rsid w:val="0039501F"/>
    <w:rsid w:val="00536CC3"/>
    <w:rsid w:val="006A04CA"/>
    <w:rsid w:val="007C3F2F"/>
    <w:rsid w:val="007F2A47"/>
    <w:rsid w:val="00962D7F"/>
    <w:rsid w:val="00A91B21"/>
    <w:rsid w:val="00C156B0"/>
    <w:rsid w:val="00C348A5"/>
    <w:rsid w:val="00E36B66"/>
    <w:rsid w:val="00F34E78"/>
    <w:rsid w:val="00FC51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04D74-9E16-4D80-9B6C-838E98A7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327"/>
      <w:ind w:right="72"/>
      <w:jc w:val="center"/>
      <w:outlineLvl w:val="0"/>
    </w:pPr>
    <w:rPr>
      <w:rFonts w:ascii="Trebuchet MS" w:eastAsia="Trebuchet MS" w:hAnsi="Trebuchet MS" w:cs="Trebuchet MS"/>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rebuchet MS" w:eastAsia="Trebuchet MS" w:hAnsi="Trebuchet MS" w:cs="Trebuchet MS"/>
      <w:b/>
      <w:color w:val="000000"/>
      <w:sz w:val="20"/>
    </w:rPr>
  </w:style>
  <w:style w:type="paragraph" w:styleId="Prrafodelista">
    <w:name w:val="List Paragraph"/>
    <w:basedOn w:val="Normal"/>
    <w:uiPriority w:val="1"/>
    <w:qFormat/>
    <w:rsid w:val="007C3F2F"/>
    <w:pPr>
      <w:autoSpaceDE w:val="0"/>
      <w:autoSpaceDN w:val="0"/>
      <w:adjustRightInd w:val="0"/>
      <w:spacing w:after="0" w:line="240" w:lineRule="auto"/>
    </w:pPr>
    <w:rPr>
      <w:rFonts w:ascii="Times New Roman" w:eastAsia="Times New Roman" w:hAnsi="Times New Roman" w:cs="Times New Roman"/>
      <w:color w:val="auto"/>
      <w:sz w:val="24"/>
      <w:szCs w:val="24"/>
    </w:rPr>
  </w:style>
  <w:style w:type="character" w:styleId="Hipervnculo">
    <w:name w:val="Hyperlink"/>
    <w:basedOn w:val="Fuentedeprrafopredeter"/>
    <w:uiPriority w:val="99"/>
    <w:unhideWhenUsed/>
    <w:rsid w:val="00536C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874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sa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a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l.es/" TargetMode="External"/><Relationship Id="rId11" Type="http://schemas.openxmlformats.org/officeDocument/2006/relationships/hyperlink" Target="http://www.ciencia.gob.es/portal/site/MICINN/menuitem.d20caeda35a0c5dc7c68b11001432ea0/?vgnextoid=bfe8865dd69b2610VgnVCM1000001d04140aRCRD" TargetMode="External"/><Relationship Id="rId5" Type="http://schemas.openxmlformats.org/officeDocument/2006/relationships/image" Target="media/image1.jpg"/><Relationship Id="rId10" Type="http://schemas.openxmlformats.org/officeDocument/2006/relationships/hyperlink" Target="https://investigacion.usal.es/" TargetMode="External"/><Relationship Id="rId4" Type="http://schemas.openxmlformats.org/officeDocument/2006/relationships/webSettings" Target="webSettings.xml"/><Relationship Id="rId9" Type="http://schemas.openxmlformats.org/officeDocument/2006/relationships/hyperlink" Target="mailto:serv.agi@us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3080</Characters>
  <Application>Microsoft Office Word</Application>
  <DocSecurity>4</DocSecurity>
  <Lines>25</Lines>
  <Paragraphs>7</Paragraphs>
  <ScaleCrop>false</ScaleCrop>
  <HeadingPairs>
    <vt:vector size="2" baseType="variant">
      <vt:variant>
        <vt:lpstr>Título</vt:lpstr>
      </vt:variant>
      <vt:variant>
        <vt:i4>1</vt:i4>
      </vt:variant>
    </vt:vector>
  </HeadingPairs>
  <TitlesOfParts>
    <vt:vector size="1" baseType="lpstr">
      <vt:lpstr>ARTURO PÉREZ ESLAVA, VICERRECTOR DE INVESTIGACIÓN DE LA UNIVERSIDAD DE SALAMANCA</vt:lpstr>
    </vt:vector>
  </TitlesOfParts>
  <Company>Hewlett-Packard Company</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ARTURO PÉREZ ESLAVA, VICERRECTOR DE INVESTIGACIÓN DE LA UNIVERSIDAD DE SALAMANCA</dc:title>
  <dc:subject/>
  <dc:creator>VICEGERENCIA</dc:creator>
  <cp:keywords/>
  <cp:lastModifiedBy>Usuario</cp:lastModifiedBy>
  <cp:revision>2</cp:revision>
  <dcterms:created xsi:type="dcterms:W3CDTF">2018-12-21T11:27:00Z</dcterms:created>
  <dcterms:modified xsi:type="dcterms:W3CDTF">2018-12-21T11:27:00Z</dcterms:modified>
</cp:coreProperties>
</file>